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jc w:val="left"/>
        <w:rPr>
          <w:rFonts w:ascii="仿宋" w:hAnsi="仿宋" w:eastAsia="仿宋" w:cs="仿宋"/>
          <w:sz w:val="32"/>
        </w:rPr>
      </w:pPr>
      <w:r>
        <w:rPr>
          <w:rFonts w:hint="eastAsia" w:ascii="仿宋" w:hAnsi="仿宋" w:eastAsia="仿宋" w:cs="仿宋"/>
          <w:sz w:val="32"/>
        </w:rPr>
        <w:t xml:space="preserve">  </w:t>
      </w:r>
    </w:p>
    <w:p>
      <w:pPr>
        <w:pStyle w:val="43"/>
        <w:jc w:val="center"/>
        <w:rPr>
          <w:rFonts w:ascii="仿宋" w:hAnsi="仿宋" w:eastAsia="仿宋" w:cs="仿宋"/>
          <w:b/>
          <w:bCs/>
          <w:spacing w:val="76"/>
          <w:sz w:val="96"/>
          <w:szCs w:val="96"/>
        </w:rPr>
      </w:pPr>
      <w:r>
        <w:rPr>
          <w:rFonts w:hint="eastAsia" w:ascii="仿宋" w:hAnsi="仿宋" w:eastAsia="仿宋" w:cs="仿宋"/>
          <w:b/>
          <w:bCs/>
          <w:spacing w:val="76"/>
          <w:sz w:val="96"/>
          <w:szCs w:val="96"/>
        </w:rPr>
        <w:t>招标文件</w:t>
      </w:r>
    </w:p>
    <w:p>
      <w:pPr>
        <w:pStyle w:val="46"/>
        <w:rPr>
          <w:rFonts w:ascii="仿宋" w:hAnsi="仿宋" w:eastAsia="仿宋" w:cs="仿宋"/>
          <w:b/>
          <w:bCs/>
          <w:spacing w:val="76"/>
          <w:sz w:val="96"/>
          <w:szCs w:val="96"/>
        </w:rPr>
      </w:pPr>
    </w:p>
    <w:p>
      <w:pPr>
        <w:pStyle w:val="45"/>
        <w:rPr>
          <w:rFonts w:ascii="仿宋" w:hAnsi="仿宋" w:eastAsia="仿宋" w:cs="仿宋"/>
          <w:spacing w:val="76"/>
          <w:sz w:val="96"/>
          <w:szCs w:val="96"/>
        </w:rPr>
      </w:pPr>
      <w:r>
        <w:rPr>
          <w:rFonts w:ascii="宋体" w:hAnsi="宋体" w:eastAsia="宋体" w:cs="宋体"/>
          <w:color w:val="000000"/>
          <w:spacing w:val="76"/>
          <w:w w:val="80"/>
          <w:sz w:val="44"/>
          <w:szCs w:val="44"/>
        </w:rPr>
        <w:drawing>
          <wp:anchor distT="0" distB="0" distL="114300" distR="114300" simplePos="0" relativeHeight="251659264" behindDoc="0" locked="0" layoutInCell="0" allowOverlap="1">
            <wp:simplePos x="0" y="0"/>
            <wp:positionH relativeFrom="column">
              <wp:posOffset>1264920</wp:posOffset>
            </wp:positionH>
            <wp:positionV relativeFrom="paragraph">
              <wp:posOffset>1905</wp:posOffset>
            </wp:positionV>
            <wp:extent cx="2743200" cy="1492250"/>
            <wp:effectExtent l="0" t="0" r="9525" b="8255"/>
            <wp:wrapTopAndBottom/>
            <wp:docPr id="1" name="对象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对象 123"/>
                    <pic:cNvPicPr>
                      <a:picLocks noChangeAspect="1"/>
                    </pic:cNvPicPr>
                  </pic:nvPicPr>
                  <pic:blipFill>
                    <a:blip r:embed="rId7"/>
                    <a:stretch>
                      <a:fillRect/>
                    </a:stretch>
                  </pic:blipFill>
                  <pic:spPr>
                    <a:xfrm>
                      <a:off x="0" y="0"/>
                      <a:ext cx="2743200" cy="1492250"/>
                    </a:xfrm>
                    <a:prstGeom prst="rect">
                      <a:avLst/>
                    </a:prstGeom>
                    <a:noFill/>
                    <a:ln>
                      <a:noFill/>
                    </a:ln>
                  </pic:spPr>
                </pic:pic>
              </a:graphicData>
            </a:graphic>
          </wp:anchor>
        </w:drawing>
      </w:r>
    </w:p>
    <w:p>
      <w:pPr>
        <w:pStyle w:val="41"/>
      </w:pPr>
    </w:p>
    <w:p>
      <w:pPr>
        <w:pStyle w:val="43"/>
        <w:ind w:firstLine="2100"/>
        <w:rPr>
          <w:rFonts w:ascii="仿宋" w:hAnsi="仿宋" w:eastAsia="仿宋" w:cs="仿宋"/>
          <w:sz w:val="30"/>
          <w:szCs w:val="30"/>
        </w:rPr>
      </w:pPr>
    </w:p>
    <w:p>
      <w:pPr>
        <w:pStyle w:val="43"/>
        <w:spacing w:line="360" w:lineRule="auto"/>
        <w:rPr>
          <w:rFonts w:ascii="仿宋" w:hAnsi="仿宋" w:eastAsia="仿宋" w:cs="仿宋"/>
          <w:b/>
          <w:bCs/>
          <w:sz w:val="30"/>
          <w:szCs w:val="30"/>
        </w:rPr>
      </w:pPr>
    </w:p>
    <w:p>
      <w:pPr>
        <w:pStyle w:val="43"/>
        <w:spacing w:line="360" w:lineRule="auto"/>
        <w:ind w:firstLine="602" w:firstLineChars="200"/>
      </w:pPr>
      <w:r>
        <w:rPr>
          <w:rFonts w:hint="eastAsia" w:ascii="仿宋" w:hAnsi="仿宋" w:eastAsia="仿宋" w:cs="仿宋"/>
          <w:b/>
          <w:bCs/>
          <w:sz w:val="30"/>
          <w:szCs w:val="30"/>
        </w:rPr>
        <w:t>项目名称：</w:t>
      </w:r>
      <w:r>
        <w:rPr>
          <w:rFonts w:hint="eastAsia" w:ascii="仿宋" w:hAnsi="仿宋" w:eastAsia="仿宋" w:cs="仿宋"/>
          <w:b/>
          <w:bCs/>
          <w:sz w:val="28"/>
          <w:szCs w:val="28"/>
        </w:rPr>
        <w:t>新沂市城市“绿岛”项目环卫特种作业车辆采购项目</w:t>
      </w:r>
    </w:p>
    <w:p>
      <w:pPr>
        <w:pStyle w:val="43"/>
        <w:spacing w:line="360" w:lineRule="auto"/>
        <w:ind w:firstLine="602" w:firstLineChars="200"/>
        <w:rPr>
          <w:rFonts w:hint="eastAsia" w:ascii="仿宋" w:hAnsi="仿宋" w:eastAsia="仿宋" w:cs="仿宋"/>
          <w:b/>
          <w:bCs/>
          <w:sz w:val="30"/>
          <w:szCs w:val="30"/>
          <w:lang w:eastAsia="zh-CN"/>
        </w:rPr>
      </w:pPr>
      <w:r>
        <w:rPr>
          <w:rFonts w:hint="eastAsia" w:ascii="仿宋" w:hAnsi="仿宋" w:eastAsia="仿宋" w:cs="仿宋"/>
          <w:b/>
          <w:bCs/>
          <w:sz w:val="30"/>
          <w:szCs w:val="30"/>
        </w:rPr>
        <w:t>项目编号：</w:t>
      </w:r>
      <w:r>
        <w:rPr>
          <w:rFonts w:hint="eastAsia" w:ascii="仿宋" w:hAnsi="仿宋" w:eastAsia="仿宋" w:cs="仿宋"/>
          <w:b/>
          <w:bCs/>
          <w:sz w:val="30"/>
          <w:szCs w:val="30"/>
          <w:lang w:eastAsia="zh-CN"/>
        </w:rPr>
        <w:t>JSZC-320381-XZPS-G2025-0005</w:t>
      </w:r>
    </w:p>
    <w:p>
      <w:pPr>
        <w:pStyle w:val="43"/>
        <w:spacing w:line="360" w:lineRule="auto"/>
        <w:ind w:firstLine="602" w:firstLineChars="200"/>
        <w:rPr>
          <w:rFonts w:ascii="仿宋" w:hAnsi="仿宋" w:eastAsia="仿宋" w:cs="仿宋"/>
          <w:b/>
          <w:bCs/>
          <w:sz w:val="30"/>
          <w:szCs w:val="30"/>
        </w:rPr>
      </w:pPr>
      <w:r>
        <w:rPr>
          <w:rFonts w:hint="eastAsia" w:ascii="仿宋" w:hAnsi="仿宋" w:eastAsia="仿宋" w:cs="仿宋"/>
          <w:b/>
          <w:bCs/>
          <w:sz w:val="30"/>
          <w:szCs w:val="30"/>
        </w:rPr>
        <w:t>采 购 人：新沂市环境卫生管理处</w:t>
      </w:r>
    </w:p>
    <w:p>
      <w:pPr>
        <w:pStyle w:val="43"/>
        <w:ind w:firstLine="602" w:firstLineChars="200"/>
        <w:rPr>
          <w:rFonts w:ascii="仿宋" w:hAnsi="仿宋" w:eastAsia="仿宋" w:cs="仿宋"/>
          <w:b/>
          <w:bCs/>
          <w:sz w:val="30"/>
          <w:szCs w:val="30"/>
        </w:rPr>
      </w:pPr>
      <w:r>
        <w:rPr>
          <w:rFonts w:hint="eastAsia" w:ascii="仿宋" w:hAnsi="仿宋" w:eastAsia="仿宋" w:cs="仿宋"/>
          <w:b/>
          <w:bCs/>
          <w:sz w:val="30"/>
          <w:szCs w:val="30"/>
        </w:rPr>
        <w:t>采购代理机构：徐州鹏苏项目管理有限公司</w:t>
      </w:r>
    </w:p>
    <w:p>
      <w:pPr>
        <w:pStyle w:val="214"/>
        <w:ind w:firstLine="0"/>
        <w:jc w:val="center"/>
        <w:rPr>
          <w:rFonts w:ascii="仿宋" w:hAnsi="仿宋" w:eastAsia="仿宋" w:cs="仿宋"/>
          <w:b/>
          <w:bCs/>
          <w:sz w:val="30"/>
          <w:szCs w:val="30"/>
        </w:rPr>
      </w:pPr>
    </w:p>
    <w:p>
      <w:pPr>
        <w:pStyle w:val="214"/>
        <w:ind w:firstLine="0"/>
        <w:jc w:val="center"/>
        <w:rPr>
          <w:rFonts w:ascii="仿宋" w:hAnsi="仿宋" w:eastAsia="仿宋" w:cs="仿宋"/>
          <w:b/>
          <w:bCs/>
          <w:sz w:val="30"/>
          <w:szCs w:val="30"/>
        </w:rPr>
      </w:pPr>
    </w:p>
    <w:p>
      <w:pPr>
        <w:pStyle w:val="214"/>
        <w:ind w:firstLine="0"/>
        <w:jc w:val="center"/>
        <w:rPr>
          <w:rFonts w:ascii="仿宋" w:hAnsi="仿宋" w:eastAsia="仿宋" w:cs="仿宋"/>
          <w:b/>
          <w:bCs/>
          <w:sz w:val="30"/>
          <w:szCs w:val="30"/>
        </w:rPr>
      </w:pPr>
      <w:r>
        <w:rPr>
          <w:rFonts w:hint="eastAsia" w:ascii="仿宋" w:hAnsi="仿宋" w:eastAsia="仿宋" w:cs="仿宋"/>
          <w:b/>
          <w:bCs/>
          <w:sz w:val="30"/>
          <w:szCs w:val="30"/>
        </w:rPr>
        <w:t>二O二五年</w:t>
      </w:r>
      <w:r>
        <w:rPr>
          <w:rFonts w:hint="eastAsia" w:ascii="仿宋" w:hAnsi="仿宋" w:eastAsia="仿宋" w:cs="仿宋"/>
          <w:b/>
          <w:bCs/>
          <w:sz w:val="30"/>
          <w:szCs w:val="30"/>
          <w:lang w:val="en-US" w:eastAsia="zh-CN"/>
        </w:rPr>
        <w:t>十一</w:t>
      </w:r>
      <w:r>
        <w:rPr>
          <w:rFonts w:hint="eastAsia" w:ascii="仿宋" w:hAnsi="仿宋" w:eastAsia="仿宋" w:cs="仿宋"/>
          <w:b/>
          <w:bCs/>
          <w:sz w:val="30"/>
          <w:szCs w:val="30"/>
        </w:rPr>
        <w:t>月</w:t>
      </w:r>
    </w:p>
    <w:p>
      <w:pPr>
        <w:pStyle w:val="214"/>
        <w:ind w:firstLine="0"/>
        <w:jc w:val="center"/>
        <w:rPr>
          <w:rFonts w:ascii="仿宋" w:hAnsi="仿宋" w:eastAsia="仿宋" w:cs="仿宋"/>
          <w:b/>
          <w:sz w:val="44"/>
        </w:rPr>
      </w:pPr>
    </w:p>
    <w:p>
      <w:pPr>
        <w:pStyle w:val="214"/>
        <w:ind w:firstLine="0"/>
        <w:jc w:val="center"/>
        <w:rPr>
          <w:rFonts w:ascii="仿宋" w:hAnsi="仿宋" w:eastAsia="仿宋" w:cs="仿宋"/>
          <w:b/>
          <w:sz w:val="44"/>
        </w:rPr>
      </w:pPr>
    </w:p>
    <w:p>
      <w:pPr>
        <w:pStyle w:val="214"/>
        <w:ind w:firstLine="0"/>
        <w:jc w:val="center"/>
        <w:rPr>
          <w:rFonts w:ascii="仿宋" w:hAnsi="仿宋" w:eastAsia="仿宋" w:cs="仿宋"/>
          <w:b/>
          <w:sz w:val="44"/>
        </w:rPr>
      </w:pPr>
      <w:r>
        <w:rPr>
          <w:rFonts w:hint="eastAsia" w:ascii="仿宋" w:hAnsi="仿宋" w:eastAsia="仿宋" w:cs="仿宋"/>
          <w:b/>
          <w:sz w:val="44"/>
        </w:rPr>
        <w:t>目 录</w:t>
      </w:r>
    </w:p>
    <w:p>
      <w:pPr>
        <w:pStyle w:val="43"/>
        <w:spacing w:line="520" w:lineRule="exact"/>
        <w:jc w:val="center"/>
        <w:rPr>
          <w:rFonts w:ascii="仿宋" w:hAnsi="仿宋" w:eastAsia="仿宋" w:cs="仿宋"/>
          <w:b/>
          <w:sz w:val="44"/>
          <w:szCs w:val="44"/>
        </w:rPr>
      </w:pPr>
      <w:bookmarkStart w:id="0" w:name="_Toc522790130"/>
    </w:p>
    <w:p>
      <w:pPr>
        <w:pStyle w:val="43"/>
        <w:spacing w:line="520" w:lineRule="exact"/>
        <w:jc w:val="center"/>
        <w:rPr>
          <w:rFonts w:ascii="仿宋" w:hAnsi="仿宋" w:eastAsia="仿宋" w:cs="仿宋"/>
          <w:b/>
          <w:sz w:val="30"/>
          <w:szCs w:val="30"/>
        </w:rPr>
      </w:pPr>
    </w:p>
    <w:p>
      <w:pPr>
        <w:pStyle w:val="209"/>
        <w:tabs>
          <w:tab w:val="right" w:leader="dot" w:pos="8948"/>
        </w:tabs>
        <w:spacing w:line="360" w:lineRule="auto"/>
        <w:rPr>
          <w:rFonts w:ascii="仿宋" w:hAnsi="仿宋" w:eastAsia="仿宋" w:cs="仿宋"/>
          <w:sz w:val="28"/>
          <w:szCs w:val="28"/>
        </w:rPr>
      </w:pP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TOC \o "1-3" \h \z \u </w:instrText>
      </w:r>
      <w:r>
        <w:rPr>
          <w:rFonts w:hint="eastAsia" w:ascii="仿宋" w:hAnsi="仿宋" w:eastAsia="仿宋" w:cs="仿宋"/>
          <w:b/>
          <w:sz w:val="28"/>
          <w:szCs w:val="28"/>
        </w:rPr>
        <w:fldChar w:fldCharType="separate"/>
      </w:r>
      <w:r>
        <w:fldChar w:fldCharType="begin"/>
      </w:r>
      <w:r>
        <w:instrText xml:space="preserve"> HYPERLINK \l "_Toc523404695" </w:instrText>
      </w:r>
      <w:r>
        <w:fldChar w:fldCharType="separate"/>
      </w:r>
      <w:r>
        <w:rPr>
          <w:rStyle w:val="211"/>
          <w:rFonts w:hint="eastAsia" w:ascii="仿宋" w:hAnsi="仿宋" w:eastAsia="仿宋" w:cs="仿宋"/>
          <w:color w:val="000000"/>
          <w:sz w:val="28"/>
          <w:szCs w:val="28"/>
        </w:rPr>
        <w:t>第一章  投标邀请</w:t>
      </w:r>
      <w:r>
        <w:rPr>
          <w:rStyle w:val="211"/>
          <w:rFonts w:hint="eastAsia" w:ascii="仿宋" w:hAnsi="仿宋" w:eastAsia="仿宋" w:cs="仿宋"/>
          <w:color w:val="000000"/>
          <w:sz w:val="28"/>
          <w:szCs w:val="28"/>
        </w:rPr>
        <w:fldChar w:fldCharType="end"/>
      </w:r>
    </w:p>
    <w:p>
      <w:pPr>
        <w:pStyle w:val="209"/>
        <w:tabs>
          <w:tab w:val="right" w:leader="dot" w:pos="8948"/>
        </w:tabs>
        <w:spacing w:line="360" w:lineRule="auto"/>
        <w:rPr>
          <w:rFonts w:ascii="仿宋" w:hAnsi="仿宋" w:eastAsia="仿宋" w:cs="仿宋"/>
          <w:sz w:val="28"/>
          <w:szCs w:val="28"/>
        </w:rPr>
      </w:pPr>
      <w:r>
        <w:fldChar w:fldCharType="begin"/>
      </w:r>
      <w:r>
        <w:instrText xml:space="preserve"> HYPERLINK \l "_Toc523404696" </w:instrText>
      </w:r>
      <w:r>
        <w:fldChar w:fldCharType="separate"/>
      </w:r>
      <w:r>
        <w:rPr>
          <w:rStyle w:val="211"/>
          <w:rFonts w:hint="eastAsia" w:ascii="仿宋" w:hAnsi="仿宋" w:eastAsia="仿宋" w:cs="仿宋"/>
          <w:color w:val="000000"/>
          <w:sz w:val="28"/>
          <w:szCs w:val="28"/>
        </w:rPr>
        <w:t>第二章  投标人须知</w:t>
      </w:r>
      <w:r>
        <w:rPr>
          <w:rStyle w:val="211"/>
          <w:rFonts w:hint="eastAsia" w:ascii="仿宋" w:hAnsi="仿宋" w:eastAsia="仿宋" w:cs="仿宋"/>
          <w:color w:val="000000"/>
          <w:sz w:val="28"/>
          <w:szCs w:val="28"/>
        </w:rPr>
        <w:fldChar w:fldCharType="end"/>
      </w:r>
    </w:p>
    <w:p>
      <w:pPr>
        <w:pStyle w:val="209"/>
        <w:tabs>
          <w:tab w:val="right" w:leader="dot" w:pos="8948"/>
        </w:tabs>
        <w:spacing w:line="360" w:lineRule="auto"/>
        <w:rPr>
          <w:rFonts w:ascii="仿宋" w:hAnsi="仿宋" w:eastAsia="仿宋" w:cs="仿宋"/>
          <w:sz w:val="28"/>
          <w:szCs w:val="28"/>
        </w:rPr>
      </w:pPr>
      <w:r>
        <w:fldChar w:fldCharType="begin"/>
      </w:r>
      <w:r>
        <w:instrText xml:space="preserve"> HYPERLINK \l "_Toc523404697" </w:instrText>
      </w:r>
      <w:r>
        <w:fldChar w:fldCharType="separate"/>
      </w:r>
      <w:r>
        <w:rPr>
          <w:rStyle w:val="211"/>
          <w:rFonts w:hint="eastAsia" w:ascii="仿宋" w:hAnsi="仿宋" w:eastAsia="仿宋" w:cs="仿宋"/>
          <w:color w:val="000000"/>
          <w:sz w:val="28"/>
          <w:szCs w:val="28"/>
        </w:rPr>
        <w:t>第三章  投标资料表</w:t>
      </w:r>
      <w:r>
        <w:rPr>
          <w:rStyle w:val="211"/>
          <w:rFonts w:hint="eastAsia" w:ascii="仿宋" w:hAnsi="仿宋" w:eastAsia="仿宋" w:cs="仿宋"/>
          <w:color w:val="000000"/>
          <w:sz w:val="28"/>
          <w:szCs w:val="28"/>
        </w:rPr>
        <w:fldChar w:fldCharType="end"/>
      </w:r>
    </w:p>
    <w:p>
      <w:pPr>
        <w:pStyle w:val="209"/>
        <w:tabs>
          <w:tab w:val="right" w:leader="dot" w:pos="8948"/>
        </w:tabs>
        <w:spacing w:line="360" w:lineRule="auto"/>
        <w:rPr>
          <w:rFonts w:ascii="仿宋" w:hAnsi="仿宋" w:eastAsia="仿宋" w:cs="仿宋"/>
          <w:sz w:val="28"/>
          <w:szCs w:val="28"/>
        </w:rPr>
      </w:pPr>
      <w:r>
        <w:fldChar w:fldCharType="begin"/>
      </w:r>
      <w:r>
        <w:instrText xml:space="preserve"> HYPERLINK \l "_Toc523404698" </w:instrText>
      </w:r>
      <w:r>
        <w:fldChar w:fldCharType="separate"/>
      </w:r>
      <w:r>
        <w:rPr>
          <w:rStyle w:val="211"/>
          <w:rFonts w:hint="eastAsia" w:ascii="仿宋" w:hAnsi="仿宋" w:eastAsia="仿宋" w:cs="仿宋"/>
          <w:color w:val="000000"/>
          <w:sz w:val="28"/>
          <w:szCs w:val="28"/>
        </w:rPr>
        <w:t>第四章  评标标准</w:t>
      </w:r>
      <w:r>
        <w:rPr>
          <w:rStyle w:val="211"/>
          <w:rFonts w:hint="eastAsia" w:ascii="仿宋" w:hAnsi="仿宋" w:eastAsia="仿宋" w:cs="仿宋"/>
          <w:color w:val="000000"/>
          <w:sz w:val="28"/>
          <w:szCs w:val="28"/>
        </w:rPr>
        <w:fldChar w:fldCharType="end"/>
      </w:r>
    </w:p>
    <w:p>
      <w:pPr>
        <w:pStyle w:val="209"/>
        <w:tabs>
          <w:tab w:val="right" w:leader="dot" w:pos="8948"/>
        </w:tabs>
        <w:spacing w:line="360" w:lineRule="auto"/>
        <w:rPr>
          <w:rFonts w:ascii="仿宋" w:hAnsi="仿宋" w:eastAsia="仿宋" w:cs="仿宋"/>
          <w:sz w:val="28"/>
          <w:szCs w:val="28"/>
        </w:rPr>
      </w:pPr>
      <w:r>
        <w:fldChar w:fldCharType="begin"/>
      </w:r>
      <w:r>
        <w:instrText xml:space="preserve"> HYPERLINK \l "_Toc523404699" </w:instrText>
      </w:r>
      <w:r>
        <w:fldChar w:fldCharType="separate"/>
      </w:r>
      <w:r>
        <w:rPr>
          <w:rStyle w:val="211"/>
          <w:rFonts w:hint="eastAsia" w:ascii="仿宋" w:hAnsi="仿宋" w:eastAsia="仿宋" w:cs="仿宋"/>
          <w:color w:val="000000"/>
          <w:sz w:val="28"/>
          <w:szCs w:val="28"/>
        </w:rPr>
        <w:t>第五章  拟签订的合同文本</w:t>
      </w:r>
      <w:r>
        <w:rPr>
          <w:rStyle w:val="211"/>
          <w:rFonts w:hint="eastAsia" w:ascii="仿宋" w:hAnsi="仿宋" w:eastAsia="仿宋" w:cs="仿宋"/>
          <w:color w:val="000000"/>
          <w:sz w:val="28"/>
          <w:szCs w:val="28"/>
        </w:rPr>
        <w:fldChar w:fldCharType="end"/>
      </w:r>
    </w:p>
    <w:p>
      <w:pPr>
        <w:pStyle w:val="209"/>
        <w:tabs>
          <w:tab w:val="right" w:leader="dot" w:pos="8948"/>
        </w:tabs>
        <w:spacing w:line="360" w:lineRule="auto"/>
        <w:rPr>
          <w:rFonts w:ascii="仿宋" w:hAnsi="仿宋" w:eastAsia="仿宋" w:cs="仿宋"/>
          <w:sz w:val="28"/>
          <w:szCs w:val="28"/>
        </w:rPr>
      </w:pPr>
      <w:r>
        <w:fldChar w:fldCharType="begin"/>
      </w:r>
      <w:r>
        <w:instrText xml:space="preserve"> HYPERLINK \l "_Toc523404700" </w:instrText>
      </w:r>
      <w:r>
        <w:fldChar w:fldCharType="separate"/>
      </w:r>
      <w:r>
        <w:rPr>
          <w:rStyle w:val="211"/>
          <w:rFonts w:hint="eastAsia" w:ascii="仿宋" w:hAnsi="仿宋" w:eastAsia="仿宋" w:cs="仿宋"/>
          <w:color w:val="000000"/>
          <w:sz w:val="28"/>
          <w:szCs w:val="28"/>
        </w:rPr>
        <w:t>第六章  采购需求</w:t>
      </w:r>
      <w:r>
        <w:rPr>
          <w:rStyle w:val="211"/>
          <w:rFonts w:hint="eastAsia" w:ascii="仿宋" w:hAnsi="仿宋" w:eastAsia="仿宋" w:cs="仿宋"/>
          <w:color w:val="000000"/>
          <w:sz w:val="28"/>
          <w:szCs w:val="28"/>
        </w:rPr>
        <w:fldChar w:fldCharType="end"/>
      </w:r>
    </w:p>
    <w:p>
      <w:pPr>
        <w:pStyle w:val="209"/>
        <w:tabs>
          <w:tab w:val="right" w:leader="dot" w:pos="8948"/>
        </w:tabs>
        <w:spacing w:line="360" w:lineRule="auto"/>
        <w:rPr>
          <w:rFonts w:ascii="仿宋" w:hAnsi="仿宋" w:eastAsia="仿宋" w:cs="仿宋"/>
          <w:sz w:val="24"/>
        </w:rPr>
      </w:pPr>
      <w:r>
        <w:fldChar w:fldCharType="begin"/>
      </w:r>
      <w:r>
        <w:instrText xml:space="preserve"> HYPERLINK \l "_Toc523404701" </w:instrText>
      </w:r>
      <w:r>
        <w:fldChar w:fldCharType="separate"/>
      </w:r>
      <w:r>
        <w:rPr>
          <w:rStyle w:val="211"/>
          <w:rFonts w:hint="eastAsia" w:ascii="仿宋" w:hAnsi="仿宋" w:eastAsia="仿宋" w:cs="仿宋"/>
          <w:color w:val="000000"/>
          <w:sz w:val="28"/>
          <w:szCs w:val="28"/>
        </w:rPr>
        <w:t>第七章  投标文件相关格</w:t>
      </w:r>
      <w:bookmarkStart w:id="1" w:name="_Hlt532911771"/>
      <w:bookmarkStart w:id="2" w:name="_Hlt532911772"/>
      <w:r>
        <w:rPr>
          <w:rStyle w:val="211"/>
          <w:rFonts w:hint="eastAsia" w:ascii="仿宋" w:hAnsi="仿宋" w:eastAsia="仿宋" w:cs="仿宋"/>
          <w:color w:val="000000"/>
          <w:sz w:val="28"/>
          <w:szCs w:val="28"/>
        </w:rPr>
        <w:t>式</w:t>
      </w:r>
      <w:bookmarkEnd w:id="1"/>
      <w:bookmarkEnd w:id="2"/>
      <w:r>
        <w:rPr>
          <w:rStyle w:val="211"/>
          <w:rFonts w:hint="eastAsia" w:ascii="仿宋" w:hAnsi="仿宋" w:eastAsia="仿宋" w:cs="仿宋"/>
          <w:color w:val="000000"/>
          <w:sz w:val="28"/>
          <w:szCs w:val="28"/>
        </w:rPr>
        <w:fldChar w:fldCharType="end"/>
      </w:r>
    </w:p>
    <w:p>
      <w:pPr>
        <w:pStyle w:val="43"/>
        <w:spacing w:line="360" w:lineRule="auto"/>
        <w:jc w:val="center"/>
        <w:rPr>
          <w:rFonts w:ascii="仿宋" w:hAnsi="仿宋" w:eastAsia="仿宋" w:cs="仿宋"/>
          <w:b/>
          <w:sz w:val="44"/>
          <w:szCs w:val="44"/>
        </w:rPr>
      </w:pPr>
      <w:r>
        <w:rPr>
          <w:rFonts w:hint="eastAsia" w:ascii="仿宋" w:hAnsi="仿宋" w:eastAsia="仿宋" w:cs="仿宋"/>
          <w:b/>
          <w:sz w:val="28"/>
          <w:szCs w:val="28"/>
        </w:rPr>
        <w:fldChar w:fldCharType="end"/>
      </w: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p>
    <w:p>
      <w:pPr>
        <w:pStyle w:val="43"/>
        <w:spacing w:line="520" w:lineRule="exact"/>
        <w:jc w:val="center"/>
        <w:rPr>
          <w:rFonts w:ascii="仿宋" w:hAnsi="仿宋" w:eastAsia="仿宋" w:cs="仿宋"/>
          <w:b/>
          <w:sz w:val="44"/>
          <w:szCs w:val="44"/>
        </w:rPr>
      </w:pPr>
      <w:r>
        <w:rPr>
          <w:rFonts w:hint="eastAsia" w:ascii="仿宋" w:hAnsi="仿宋" w:eastAsia="仿宋" w:cs="仿宋"/>
          <w:b/>
          <w:sz w:val="44"/>
          <w:szCs w:val="44"/>
        </w:rPr>
        <w:br w:type="page" w:clear="all"/>
      </w:r>
    </w:p>
    <w:p>
      <w:pPr>
        <w:pStyle w:val="43"/>
        <w:spacing w:line="460" w:lineRule="exact"/>
        <w:jc w:val="center"/>
        <w:rPr>
          <w:rFonts w:ascii="仿宋" w:hAnsi="仿宋" w:eastAsia="仿宋" w:cs="仿宋"/>
          <w:b/>
          <w:sz w:val="44"/>
          <w:szCs w:val="44"/>
        </w:rPr>
      </w:pPr>
      <w:r>
        <w:rPr>
          <w:rFonts w:hint="eastAsia" w:ascii="仿宋" w:hAnsi="仿宋" w:eastAsia="仿宋" w:cs="仿宋"/>
          <w:b/>
          <w:sz w:val="44"/>
          <w:szCs w:val="44"/>
        </w:rPr>
        <w:t>《新沂市城市“绿岛”项目环卫特种作业车辆采购项目》招标文件</w:t>
      </w:r>
      <w:r>
        <w:rPr>
          <w:rFonts w:hint="eastAsia" w:ascii="仿宋" w:hAnsi="仿宋" w:eastAsia="仿宋" w:cs="仿宋"/>
          <w:b/>
          <w:sz w:val="30"/>
          <w:szCs w:val="30"/>
        </w:rPr>
        <w:t xml:space="preserve"> </w:t>
      </w:r>
    </w:p>
    <w:p>
      <w:pPr>
        <w:pStyle w:val="43"/>
        <w:spacing w:line="460" w:lineRule="exact"/>
        <w:rPr>
          <w:rFonts w:ascii="仿宋" w:hAnsi="仿宋" w:eastAsia="仿宋" w:cs="仿宋"/>
          <w:b/>
          <w:sz w:val="30"/>
          <w:szCs w:val="30"/>
        </w:rPr>
      </w:pPr>
      <w:r>
        <w:rPr>
          <w:rFonts w:hint="eastAsia" w:ascii="仿宋" w:hAnsi="仿宋" w:eastAsia="仿宋" w:cs="仿宋"/>
          <w:b/>
          <w:sz w:val="30"/>
          <w:szCs w:val="30"/>
        </w:rPr>
        <w:t xml:space="preserve">    </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pPr>
        <w:pStyle w:val="215"/>
        <w:pageBreakBefore w:val="0"/>
        <w:wordWrap/>
        <w:topLinePunct w:val="0"/>
        <w:autoSpaceDE/>
        <w:autoSpaceDN/>
        <w:bidi w:val="0"/>
        <w:adjustRightInd/>
        <w:snapToGrid/>
        <w:spacing w:line="440" w:lineRule="exact"/>
        <w:textAlignment w:val="auto"/>
        <w:rPr>
          <w:rFonts w:ascii="仿宋" w:hAnsi="仿宋" w:eastAsia="仿宋" w:cs="仿宋"/>
          <w:sz w:val="28"/>
          <w:szCs w:val="28"/>
        </w:rPr>
      </w:pPr>
      <w:bookmarkStart w:id="3" w:name="_Toc523404695"/>
      <w:r>
        <w:rPr>
          <w:rFonts w:hint="eastAsia" w:ascii="仿宋" w:hAnsi="仿宋" w:eastAsia="仿宋" w:cs="仿宋"/>
          <w:sz w:val="28"/>
          <w:szCs w:val="28"/>
        </w:rPr>
        <w:t>第一章  投标邀请</w:t>
      </w:r>
      <w:bookmarkEnd w:id="3"/>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u w:val="single"/>
        </w:rPr>
        <w:t xml:space="preserve">徐州鹏苏项目管理有限公司 </w:t>
      </w:r>
      <w:r>
        <w:rPr>
          <w:rFonts w:hint="eastAsia" w:ascii="仿宋" w:hAnsi="仿宋" w:eastAsia="仿宋" w:cs="仿宋"/>
          <w:sz w:val="28"/>
          <w:szCs w:val="28"/>
        </w:rPr>
        <w:t>受</w:t>
      </w:r>
      <w:r>
        <w:rPr>
          <w:rFonts w:hint="eastAsia" w:ascii="仿宋" w:hAnsi="仿宋" w:eastAsia="仿宋" w:cs="仿宋"/>
          <w:sz w:val="28"/>
          <w:szCs w:val="28"/>
          <w:u w:val="single"/>
        </w:rPr>
        <w:t xml:space="preserve"> 新沂市环境卫生管理处 </w:t>
      </w:r>
      <w:r>
        <w:rPr>
          <w:rFonts w:hint="eastAsia" w:ascii="仿宋" w:hAnsi="仿宋" w:eastAsia="仿宋" w:cs="仿宋"/>
          <w:sz w:val="30"/>
          <w:szCs w:val="30"/>
        </w:rPr>
        <w:t>委托</w:t>
      </w:r>
      <w:r>
        <w:rPr>
          <w:rFonts w:hint="eastAsia" w:ascii="仿宋" w:hAnsi="仿宋" w:eastAsia="仿宋" w:cs="仿宋"/>
          <w:b/>
          <w:bCs/>
          <w:sz w:val="30"/>
          <w:szCs w:val="30"/>
        </w:rPr>
        <w:t>，</w:t>
      </w:r>
      <w:r>
        <w:rPr>
          <w:rFonts w:hint="eastAsia" w:ascii="仿宋" w:hAnsi="仿宋" w:eastAsia="仿宋" w:cs="仿宋"/>
          <w:sz w:val="28"/>
          <w:szCs w:val="28"/>
        </w:rPr>
        <w:t>对</w:t>
      </w:r>
      <w:r>
        <w:rPr>
          <w:rFonts w:hint="eastAsia" w:ascii="仿宋" w:hAnsi="仿宋" w:eastAsia="仿宋" w:cs="仿宋"/>
          <w:sz w:val="28"/>
          <w:szCs w:val="28"/>
          <w:u w:val="single"/>
        </w:rPr>
        <w:t>新沂市城市“绿岛”项目环卫特种作业车辆采购项目</w:t>
      </w:r>
      <w:r>
        <w:rPr>
          <w:rFonts w:hint="eastAsia" w:ascii="仿宋" w:hAnsi="仿宋" w:eastAsia="仿宋" w:cs="仿宋"/>
          <w:sz w:val="28"/>
          <w:szCs w:val="28"/>
        </w:rPr>
        <w:t>进行公开招标采购，现欢迎符合相关条件的供应商参加投标。</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
          <w:bCs/>
          <w:sz w:val="28"/>
          <w:szCs w:val="28"/>
        </w:rPr>
      </w:pPr>
      <w:r>
        <w:rPr>
          <w:rFonts w:hint="eastAsia" w:ascii="仿宋" w:hAnsi="仿宋" w:eastAsia="仿宋" w:cs="仿宋"/>
          <w:b/>
          <w:bCs/>
          <w:sz w:val="28"/>
          <w:szCs w:val="28"/>
        </w:rPr>
        <w:t>一、项目名称和项目编号</w:t>
      </w:r>
    </w:p>
    <w:p>
      <w:pPr>
        <w:pStyle w:val="43"/>
        <w:pageBreakBefore w:val="0"/>
        <w:wordWrap/>
        <w:topLinePunct w:val="0"/>
        <w:autoSpaceDE/>
        <w:autoSpaceDN/>
        <w:bidi w:val="0"/>
        <w:adjustRightInd/>
        <w:snapToGrid/>
        <w:spacing w:line="440" w:lineRule="exact"/>
        <w:ind w:firstLine="600"/>
        <w:textAlignment w:val="auto"/>
      </w:pPr>
      <w:r>
        <w:rPr>
          <w:rFonts w:hint="eastAsia" w:ascii="仿宋" w:hAnsi="仿宋" w:eastAsia="仿宋" w:cs="仿宋"/>
          <w:sz w:val="28"/>
          <w:szCs w:val="28"/>
        </w:rPr>
        <w:t>(一)项目名称：新沂市城市“绿岛”项目环卫特种作业车辆采购项目</w:t>
      </w:r>
    </w:p>
    <w:p>
      <w:pPr>
        <w:pStyle w:val="43"/>
        <w:pageBreakBefore w:val="0"/>
        <w:wordWrap/>
        <w:topLinePunct w:val="0"/>
        <w:autoSpaceDE/>
        <w:autoSpaceDN/>
        <w:bidi w:val="0"/>
        <w:adjustRightInd/>
        <w:snapToGrid/>
        <w:spacing w:line="440" w:lineRule="exact"/>
        <w:ind w:firstLine="600"/>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JSZC-320381-XZPS-G2025-0005</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
          <w:bCs/>
          <w:sz w:val="28"/>
          <w:szCs w:val="28"/>
        </w:rPr>
      </w:pPr>
      <w:r>
        <w:rPr>
          <w:rFonts w:hint="eastAsia" w:ascii="仿宋" w:hAnsi="仿宋" w:eastAsia="仿宋" w:cs="仿宋"/>
          <w:b/>
          <w:bCs/>
          <w:sz w:val="28"/>
          <w:szCs w:val="28"/>
        </w:rPr>
        <w:t>二、对投标人的资格要求</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color w:val="auto"/>
          <w:sz w:val="28"/>
          <w:szCs w:val="28"/>
        </w:rPr>
      </w:pPr>
      <w:r>
        <w:rPr>
          <w:rFonts w:hint="eastAsia" w:ascii="仿宋" w:hAnsi="仿宋" w:eastAsia="仿宋" w:cs="仿宋"/>
          <w:sz w:val="28"/>
          <w:szCs w:val="28"/>
        </w:rPr>
        <w:t>2.落实政府采购政策需满足的资格要求：</w:t>
      </w:r>
      <w:r>
        <w:rPr>
          <w:rFonts w:hint="eastAsia" w:ascii="仿宋" w:hAnsi="仿宋" w:eastAsia="仿宋" w:cs="仿宋"/>
          <w:color w:val="auto"/>
          <w:sz w:val="28"/>
          <w:szCs w:val="28"/>
        </w:rPr>
        <w:t>本项目不属于专门面向中小微企业采购的项目。</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3.本项目的特定资格要求：无。</w:t>
      </w:r>
    </w:p>
    <w:bookmarkEnd w:id="0"/>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
          <w:bCs/>
          <w:sz w:val="28"/>
          <w:szCs w:val="28"/>
        </w:rPr>
      </w:pPr>
      <w:r>
        <w:rPr>
          <w:rFonts w:hint="eastAsia" w:ascii="仿宋" w:hAnsi="仿宋" w:eastAsia="仿宋" w:cs="仿宋"/>
          <w:b/>
          <w:bCs/>
          <w:sz w:val="28"/>
          <w:szCs w:val="28"/>
        </w:rPr>
        <w:t>三、获取招标文件</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（一）潜在投标人访问电子招标投标交易平台的网络地址和方法：</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bookmarkStart w:id="4" w:name="OLE_LINK1"/>
      <w:r>
        <w:rPr>
          <w:rFonts w:hint="eastAsia" w:ascii="仿宋" w:hAnsi="仿宋" w:eastAsia="仿宋" w:cs="仿宋"/>
          <w:sz w:val="28"/>
          <w:szCs w:val="28"/>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2）潜在供应商访问“苏采云”系统的网络地址和方法：“苏采云”系统的网址：http://jszfcg.jsczt.cn/；或进入徐州政府采购网（网址：http://czj.xz.gov.cn/Home/HomeIndex）--业务工作--用户登录，点击“苏采云”进入系统。</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（3）“CA数字证书”的获取：</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（二）采购代理机构将数据电文形式的招标文件加载至电子招标投标交易平台，供潜在投标人下载或者查阅。</w:t>
      </w:r>
    </w:p>
    <w:bookmarkEnd w:id="4"/>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（三）售价：免费。</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四、投标有关信息</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（一）投标截止时间：2025年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日北京时间09：30。</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（二）开标时间：2025年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19</w:t>
      </w:r>
      <w:r>
        <w:rPr>
          <w:rFonts w:hint="eastAsia" w:ascii="仿宋" w:hAnsi="仿宋" w:eastAsia="仿宋" w:cs="仿宋"/>
          <w:sz w:val="28"/>
          <w:szCs w:val="28"/>
        </w:rPr>
        <w:t>日北京时间09：30。</w:t>
      </w:r>
    </w:p>
    <w:p>
      <w:pPr>
        <w:pStyle w:val="43"/>
        <w:pageBreakBefore w:val="0"/>
        <w:wordWrap/>
        <w:topLinePunct w:val="0"/>
        <w:autoSpaceDE/>
        <w:autoSpaceDN/>
        <w:bidi w:val="0"/>
        <w:adjustRightInd/>
        <w:snapToGrid/>
        <w:spacing w:line="44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 xml:space="preserve">（三）开标地点：“苏采云”系统（网址： http://jszfcg.jsczt.cn/）“开标大厅”或进入徐州政府采购网（网址：http://czj.xz.gov.cn/Home/HomeIndex）-业务工作 -用户登录，点击“苏采云”进入系统“开标大厅”。 </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五、采购人</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（一）名称：新沂市环境卫生管理处</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（二）地址：新沂市新华路西建委综合楼</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（三）采购项目联系人：王铭浩</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（四）联系电话：15190703965</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六、采购代理机构</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（一）名称：徐州鹏苏项目管理有限公司</w:t>
      </w:r>
    </w:p>
    <w:p>
      <w:pPr>
        <w:pStyle w:val="43"/>
        <w:pageBreakBefore w:val="0"/>
        <w:wordWrap/>
        <w:topLinePunct w:val="0"/>
        <w:autoSpaceDE/>
        <w:autoSpaceDN/>
        <w:bidi w:val="0"/>
        <w:adjustRightInd/>
        <w:snapToGrid/>
        <w:spacing w:line="440" w:lineRule="exact"/>
        <w:ind w:left="559" w:leftChars="266"/>
        <w:textAlignment w:val="auto"/>
        <w:rPr>
          <w:rFonts w:ascii="仿宋" w:hAnsi="仿宋" w:eastAsia="仿宋" w:cs="仿宋"/>
          <w:sz w:val="28"/>
          <w:szCs w:val="28"/>
        </w:rPr>
      </w:pPr>
      <w:r>
        <w:rPr>
          <w:rFonts w:hint="eastAsia" w:ascii="仿宋" w:hAnsi="仿宋" w:eastAsia="仿宋" w:cs="仿宋"/>
          <w:sz w:val="28"/>
          <w:szCs w:val="28"/>
        </w:rPr>
        <w:t>（二）地址：徐州市云龙区绿地商务城领海写字楼3号楼6楼（三）采购项目联系人：</w:t>
      </w:r>
      <w:bookmarkStart w:id="32" w:name="_GoBack"/>
      <w:bookmarkEnd w:id="32"/>
      <w:r>
        <w:rPr>
          <w:rFonts w:hint="eastAsia" w:ascii="仿宋" w:hAnsi="仿宋" w:eastAsia="仿宋" w:cs="仿宋"/>
          <w:sz w:val="28"/>
          <w:szCs w:val="28"/>
        </w:rPr>
        <w:t>刘宇</w:t>
      </w:r>
    </w:p>
    <w:p>
      <w:pPr>
        <w:pStyle w:val="43"/>
        <w:pageBreakBefore w:val="0"/>
        <w:wordWrap/>
        <w:topLinePunct w:val="0"/>
        <w:autoSpaceDE/>
        <w:autoSpaceDN/>
        <w:bidi w:val="0"/>
        <w:adjustRightInd/>
        <w:snapToGrid/>
        <w:spacing w:line="440" w:lineRule="exact"/>
        <w:ind w:firstLine="600"/>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（四）联系电话：</w:t>
      </w:r>
      <w:r>
        <w:rPr>
          <w:rFonts w:hint="eastAsia" w:ascii="仿宋" w:hAnsi="仿宋" w:eastAsia="仿宋" w:cs="仿宋"/>
          <w:sz w:val="28"/>
          <w:szCs w:val="28"/>
          <w:lang w:val="en-US" w:eastAsia="zh-CN"/>
        </w:rPr>
        <w:t>15365881007</w:t>
      </w:r>
    </w:p>
    <w:p>
      <w:pPr>
        <w:pStyle w:val="215"/>
        <w:pageBreakBefore w:val="0"/>
        <w:wordWrap/>
        <w:topLinePunct w:val="0"/>
        <w:autoSpaceDE/>
        <w:autoSpaceDN/>
        <w:bidi w:val="0"/>
        <w:adjustRightInd/>
        <w:snapToGrid/>
        <w:spacing w:line="440" w:lineRule="exact"/>
        <w:textAlignment w:val="auto"/>
        <w:rPr>
          <w:rFonts w:ascii="仿宋" w:hAnsi="仿宋" w:eastAsia="仿宋" w:cs="仿宋"/>
        </w:rPr>
      </w:pPr>
      <w:bookmarkStart w:id="5" w:name="_Toc523404696"/>
      <w:bookmarkStart w:id="6" w:name="_Toc522790131"/>
      <w:r>
        <w:rPr>
          <w:rFonts w:hint="eastAsia" w:ascii="仿宋" w:hAnsi="仿宋" w:eastAsia="仿宋" w:cs="仿宋"/>
          <w:sz w:val="28"/>
          <w:szCs w:val="28"/>
        </w:rPr>
        <w:br w:type="page" w:clear="all"/>
      </w:r>
      <w:bookmarkEnd w:id="5"/>
      <w:bookmarkEnd w:id="6"/>
      <w:bookmarkStart w:id="7" w:name="_Toc522790132"/>
      <w:bookmarkStart w:id="8" w:name="_Toc523404697"/>
      <w:r>
        <w:rPr>
          <w:rFonts w:hint="eastAsia" w:ascii="仿宋" w:hAnsi="仿宋" w:eastAsia="仿宋" w:cs="仿宋"/>
        </w:rPr>
        <w:t>第二章  投标人须知</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一、总则</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（一）采购人。采购人即指依法进行政府采购的国家机关、事业单位和团体组织。</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（二）政府招标采购方式。政府采购货物或服务（以下简称“货物服务”）的招标方式，分为公开招标和邀请招标。</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（三）采购人在采购货物服务的招标投标活动中，应当贯彻落实“节约能源、保护环境、扶持不发达地区和少数民族地区和促进中小企业发展”等政府采购政策。</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（四）采购人应当按照财政部制定的《政府采购品目分类目录》确定采购项目属性，对按照《政府采购品目分类目录》无法确定采购项目属性的，应按照有利于采购项目实施的原则确定。</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（五）采购人委托采购代理机构代理招标的，采购代理机构必须在采购人委托的范围内依法开展采购活动。</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（六）投标人的资格条件：</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1.参加“政府采购货物服务投标活动”的供应商（以下简称投标人），应当是能够提供本国货物服务的本国供应商，但法律、行政法规规定的外国供应商可以参加货物服务招标投标活动的除外。</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投标人是指响应招标、参加投标竞争的法人、其他组织或者自然人。</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2.投标人授权代表系指法定代表人或受法人委托的受托人。</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（七）投标费用：投标人应承担所有与准备和参加投标有关的费用。无论投标的结果如何，采购代理机构对上述费用不承担任何责任和义务。</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二、招标</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（八）招标文件应包括以下内容：</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第一章，投标邀请；</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第二章，投标人须知；</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第三章，投标资料表；</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第四章，评标标准；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第五章，拟签订的合同文本；</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第六章，采购需求；</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第七章，投标文件相关格式。</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（九）招标文件澄清或者修改：</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2.现场考察以本文件第三章《投标资料表》中的要求为准。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3.开标前答疑会以本文件第三章《投标资料表》中的要求为准。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三、投标</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（十）投标人应当按照招标文件的要求编制投标文件。投标文件应对招标文件提出的要求和条件作出实质性响应。</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（十一）投标文件的语言。投标文件以及投标人与采购代理机构就有关投标的往来函电均应使用本文件第三章《投标资料表》规定的语言书写，否则无效。</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（十二）投标文件的构成：</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1.投标文件的构成以本文件第三章《投标资料表》中的要求为准。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2.投标人应当提交的资格、资信证明文件，以本文件第三章《投标资料表》中的所提要求为准。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（十三）投标函和价格表、商务条件、交货和提供服务的时间：</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1.投标函和价格表的要求见本章（十二）、（十三），格式见本文件第七章《投标文件相关格式》中《投标函》和《开标一览表》。</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2.商务条件以本文件第三章《投标资料表》中的要求为准。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3.交货和提供服务的时间，以本文件第三章《投标资料表》中所提要求为准。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（十四）投标报价要求：</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1.投标人应按照招标文件的要求报出分项价格和总价。</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2.投标人应按照招标文件的要求进行报价，如投标人作出偏离，应在《偏离表》中列出。</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3.采购人不支付报价以外的任何费用。</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4.投标人所报的价格，在合同执行过程中是固定的，不得以任何理由予以变更。投标人提交滑动价格的投标文件，在资格性、符合性检查时按照无效投标处理。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5.投标人只能提交一个投标价格，投标人提交多个价格的投标文件，在资格性、符合性检查时按照无效投标处理。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（十五）投标货币。以本文件第三章《投标资料表》中所提要求为准。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（十六）投标有效期：</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1.投标有效期为开标之日后90天。采购人可以要求对投标有效期延长一次，但该延长期最长不得超过30天。</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2.采购人要求延长投标有效期的，必须要在距投标有效期满20日之前，以书面形式通知投标人，如果有关投标人同意延长投标有效期的要求，其应在原投标有效期期满前以书面形式向采购人确认。</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3.如果采购人发出要求延长投标有效期的通知，并在投标有效期届满前，没有收到投标人同意的书面通知，则视为该投标人不接受上述延期的要求。</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（十七）投标文件的编制要求和签署要求</w:t>
      </w:r>
    </w:p>
    <w:p>
      <w:pPr>
        <w:pStyle w:val="43"/>
        <w:pageBreakBefore w:val="0"/>
        <w:widowControl/>
        <w:wordWrap/>
        <w:topLinePunct w:val="0"/>
        <w:autoSpaceDE/>
        <w:autoSpaceDN/>
        <w:bidi w:val="0"/>
        <w:adjustRightInd/>
        <w:snapToGrid/>
        <w:spacing w:line="440" w:lineRule="exact"/>
        <w:ind w:firstLine="482"/>
        <w:jc w:val="left"/>
        <w:textAlignment w:val="auto"/>
        <w:rPr>
          <w:rFonts w:ascii="仿宋" w:hAnsi="仿宋" w:eastAsia="仿宋" w:cs="仿宋"/>
          <w:sz w:val="28"/>
          <w:szCs w:val="28"/>
        </w:rPr>
      </w:pPr>
      <w:r>
        <w:rPr>
          <w:rFonts w:hint="eastAsia" w:ascii="仿宋" w:hAnsi="仿宋" w:eastAsia="仿宋" w:cs="仿宋"/>
          <w:sz w:val="28"/>
          <w:szCs w:val="28"/>
        </w:rPr>
        <w:t>1.投标人应由其法定代表人或法定代表人授权代表在规定的网上投标时间，凭 CA 证书登陆“苏采云”系统在线编制投标文件（电子数据），并在投标截止时间之前上传投标文件。</w:t>
      </w:r>
    </w:p>
    <w:p>
      <w:pPr>
        <w:pStyle w:val="43"/>
        <w:pageBreakBefore w:val="0"/>
        <w:widowControl/>
        <w:wordWrap/>
        <w:topLinePunct w:val="0"/>
        <w:autoSpaceDE/>
        <w:autoSpaceDN/>
        <w:bidi w:val="0"/>
        <w:adjustRightInd/>
        <w:snapToGrid/>
        <w:spacing w:line="440" w:lineRule="exact"/>
        <w:ind w:firstLine="482"/>
        <w:jc w:val="left"/>
        <w:textAlignment w:val="auto"/>
        <w:rPr>
          <w:rFonts w:ascii="仿宋" w:hAnsi="仿宋" w:eastAsia="仿宋" w:cs="仿宋"/>
          <w:sz w:val="28"/>
          <w:szCs w:val="28"/>
        </w:rPr>
      </w:pPr>
      <w:r>
        <w:rPr>
          <w:rFonts w:hint="eastAsia" w:ascii="仿宋" w:hAnsi="仿宋" w:eastAsia="仿宋" w:cs="仿宋"/>
          <w:sz w:val="28"/>
          <w:szCs w:val="28"/>
        </w:rPr>
        <w:t>2.投标人应对 CA 证书妥善保管，如被他人盗用投标，因此带来的结果均由投标人自行承担。</w:t>
      </w:r>
    </w:p>
    <w:p>
      <w:pPr>
        <w:pStyle w:val="43"/>
        <w:pageBreakBefore w:val="0"/>
        <w:widowControl/>
        <w:wordWrap/>
        <w:topLinePunct w:val="0"/>
        <w:autoSpaceDE/>
        <w:autoSpaceDN/>
        <w:bidi w:val="0"/>
        <w:adjustRightInd/>
        <w:snapToGrid/>
        <w:spacing w:line="440" w:lineRule="exact"/>
        <w:ind w:firstLine="482"/>
        <w:jc w:val="left"/>
        <w:textAlignment w:val="auto"/>
        <w:rPr>
          <w:rFonts w:ascii="仿宋" w:hAnsi="仿宋" w:eastAsia="仿宋" w:cs="仿宋"/>
          <w:sz w:val="28"/>
          <w:szCs w:val="28"/>
        </w:rPr>
      </w:pPr>
      <w:r>
        <w:rPr>
          <w:rFonts w:hint="eastAsia" w:ascii="仿宋" w:hAnsi="仿宋" w:eastAsia="仿宋" w:cs="仿宋"/>
          <w:sz w:val="28"/>
          <w:szCs w:val="28"/>
        </w:rPr>
        <w:t>3.投标人应当对招标文件提出的要求和条件作出实质性响应，并在电子投标系统逐条应答。</w:t>
      </w:r>
    </w:p>
    <w:p>
      <w:pPr>
        <w:pStyle w:val="43"/>
        <w:pageBreakBefore w:val="0"/>
        <w:widowControl/>
        <w:wordWrap/>
        <w:topLinePunct w:val="0"/>
        <w:autoSpaceDE/>
        <w:autoSpaceDN/>
        <w:bidi w:val="0"/>
        <w:adjustRightInd/>
        <w:snapToGrid/>
        <w:spacing w:line="440" w:lineRule="exact"/>
        <w:ind w:firstLine="482"/>
        <w:jc w:val="left"/>
        <w:textAlignment w:val="auto"/>
        <w:rPr>
          <w:rFonts w:ascii="仿宋" w:hAnsi="仿宋" w:eastAsia="仿宋" w:cs="仿宋"/>
          <w:sz w:val="28"/>
          <w:szCs w:val="28"/>
        </w:rPr>
      </w:pPr>
      <w:r>
        <w:rPr>
          <w:rFonts w:hint="eastAsia" w:ascii="仿宋" w:hAnsi="仿宋" w:eastAsia="仿宋" w:cs="仿宋"/>
          <w:sz w:val="28"/>
          <w:szCs w:val="28"/>
        </w:rPr>
        <w:t>4.投标人应对要求提供的资格证明文件（如资质证书、资格证书）、技术资料（如白皮书、彩页、手册、检测报告等）扫描上传至投标系统。</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（十八）投标文件的盖章要求：</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投标文件的盖章要求，以本文件第三章《投标资料表》中所提要求为准。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（十九）提交投标文件的截止时间和收到投标文件后注意事项。投标人应在招标文件要求的提交投标文件的截止时间前，将投标文件提交至“苏采云”系统。</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highlight w:val="yellow"/>
        </w:rPr>
      </w:pPr>
      <w:r>
        <w:rPr>
          <w:rFonts w:hint="eastAsia" w:ascii="仿宋" w:hAnsi="仿宋" w:eastAsia="仿宋" w:cs="仿宋"/>
          <w:sz w:val="28"/>
          <w:szCs w:val="28"/>
        </w:rPr>
        <w:t>（二十）凡在招标文件要求提交投标文件的截止时间之后送达的投标文件，均为无效投标文件，“苏采云”系统将自动拒收。 各投标人应在规定时间内通过 CA 证书进行网上解密。</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（二十一）投标人在投标截止时间前，可以对所递交的投标文件进行补充、修改或者撤回。其所进行补充、修改的内容，应当按照招标文件要求进行签署、盖章，然后纳为投标文件的组成部分。</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（二十二）本项目不允许分包。</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（二十三）投标人应当遵循公平竞争的原则，不得恶意串通，不得妨碍其他投标人的竞争行为，不得损害采购人或者其他投标人的合法权益。</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在评标过程中发现投标人有上述情形的，评标委员会应当认定其投标无效，并书面报告本级财政部门。</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（二十四）有下列情形之一的，其投标无效。</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1.不同投标人的投标文件，由同一单位或者个人编制；</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2.不同投标人委托同一单位或者个人办理投标事宜；</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3.不同投标人的投标文件中，所载明的项目管理成员或联系人为同一人；</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4.不同投标人的投标文件，异常一致或者投标报价呈规律性差异；</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5.不同投标人投标文件内容存在非正常一致、项目组成员出现同一人、投标文件中错误（或异常）一致或雷同、电子文档信息一致或雷同的、投标报价呈规律性差异的；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6.电子投标文件未按规定期限投标的；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7.电子投标文件未按招标文件要求签章的；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8.投标人未在规定时间内解密电子投标文件的；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9.投标文件未按招标文件规定的内容和要求填写的；没有在投标系统指定位置上传对应文件、材料的；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10.不具备招标文件中规定的资格要求的；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11.报价超过招标文件中规定的预算金额或者最高限价的；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12.投标文件含有采购人不能接受的附加条件的；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13.法律、法规和招标文件规定的其他无效情形。</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四、开标</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（二十五）开标：</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1.开标时间及地点。开标应当在招标文件确定的提交投标文件截止时间的同一时间公开进行；开标地点应当为招标文件中预先确定的地点。</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2.由电子招标投标交易平台主持，邀请投标人参加。</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3.所有投标单位使用 CA 证书在开标时间时，解密各自投标文件，投标人不足3家的，不得评标。</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shd w:val="clear" w:color="auto" w:fill="FFFFFF"/>
        </w:rPr>
        <w:t>4.投标人原因造成投标文件未</w:t>
      </w:r>
      <w:r>
        <w:rPr>
          <w:rFonts w:hint="eastAsia" w:ascii="仿宋" w:hAnsi="仿宋" w:eastAsia="仿宋" w:cs="仿宋"/>
          <w:sz w:val="28"/>
          <w:szCs w:val="28"/>
        </w:rPr>
        <w:t>解密的，视为撤销其投标文件;因投标人之外的原因造成投标文件未解密的，视为撤回其投标文件。部分投标文件未解密的，其他投标文件的开标可以继续进行。</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五、评标</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（二十六）公开招标采购项目开标结束后，采购人依法对投标人的资格进行审查。合格投标人不足3家的，不得评标。</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1.评标工作由采购代理机构负责组织，并履行下列职责：</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（1）核对评审专家身份和采购人代表授权函，对评审专家在政府采购活动中的职责履行情况予以记录，并及时将有关违法违规行为向财政部门报告；</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（2）宣布评标纪律；</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（3）公布投标人名单，告知评审专家应当回避的情形；</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（4）组织评标委员会推选评标组长（采购人代表不得担任组长）；</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（5）在评标期间采取必要的通讯管理措施，保证评标活动不受外界干扰；</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（6）根据评标委员会的要求介绍政府采购相关政策法规、招标文件；</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（7）维护评标秩序，监督评标委员会依照招标文件规定的评标程序、方法和标准进行独立评审。及时制止和纠正采购人代表、评审专家的倾向性言论或者违法违规行为；</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（8）核对评标结果，对有《</w:t>
      </w:r>
      <w:r>
        <w:fldChar w:fldCharType="begin"/>
      </w:r>
      <w:r>
        <w:instrText xml:space="preserve"> HYPERLINK "http://www.caigou2003.com/" \t "_blank" </w:instrText>
      </w:r>
      <w:r>
        <w:fldChar w:fldCharType="separate"/>
      </w:r>
      <w:r>
        <w:rPr>
          <w:rFonts w:hint="eastAsia" w:ascii="仿宋" w:hAnsi="仿宋" w:eastAsia="仿宋" w:cs="仿宋"/>
          <w:sz w:val="28"/>
          <w:szCs w:val="28"/>
        </w:rPr>
        <w:t>政府采购</w:t>
      </w:r>
      <w:r>
        <w:rPr>
          <w:rFonts w:hint="eastAsia" w:ascii="仿宋" w:hAnsi="仿宋" w:eastAsia="仿宋" w:cs="仿宋"/>
          <w:sz w:val="28"/>
          <w:szCs w:val="28"/>
        </w:rPr>
        <w:fldChar w:fldCharType="end"/>
      </w:r>
      <w:r>
        <w:rPr>
          <w:rFonts w:hint="eastAsia" w:ascii="仿宋" w:hAnsi="仿宋" w:eastAsia="仿宋" w:cs="仿宋"/>
          <w:sz w:val="28"/>
          <w:szCs w:val="28"/>
        </w:rPr>
        <w:t>货物和服务招标投标管理办法》第六十四条规定情形的，应要求评标委员会复核或者书面说明理由，评标委员会拒绝的，应予记录并向本级财政部门报告；</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 xml:space="preserve">（9）评审工作完成后，按照规定向评审专家支付劳务报酬和异地评审差旅费，不得向评审专家以外的其他人员支付评审劳务报酬； </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（10）处理与评标有关的其他事项。</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采购人可以在评标前说明项目背景和采购需求，说明内容不得含有歧视性、倾向性意见，不得超出招标文件所述范围。其说明应当提交书面材料，并随采购文件一并存档。</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2.评标委员会负责具体评标事务，并独立履行下列职责：</w:t>
      </w:r>
    </w:p>
    <w:p>
      <w:pPr>
        <w:pStyle w:val="43"/>
        <w:pageBreakBefore w:val="0"/>
        <w:widowControl/>
        <w:wordWrap/>
        <w:topLinePunct w:val="0"/>
        <w:autoSpaceDE/>
        <w:autoSpaceDN/>
        <w:bidi w:val="0"/>
        <w:adjustRightInd/>
        <w:snapToGrid/>
        <w:spacing w:line="440" w:lineRule="exact"/>
        <w:ind w:firstLine="450"/>
        <w:jc w:val="left"/>
        <w:textAlignment w:val="auto"/>
        <w:rPr>
          <w:rFonts w:ascii="仿宋" w:hAnsi="仿宋" w:eastAsia="仿宋" w:cs="仿宋"/>
          <w:sz w:val="28"/>
          <w:szCs w:val="28"/>
        </w:rPr>
      </w:pPr>
      <w:r>
        <w:rPr>
          <w:rFonts w:hint="eastAsia" w:ascii="仿宋" w:hAnsi="仿宋" w:eastAsia="仿宋" w:cs="仿宋"/>
          <w:sz w:val="28"/>
          <w:szCs w:val="28"/>
        </w:rPr>
        <w:t>（1）审查、评价投标文件是否符合招标文件的商务、技术等实质性要求；</w:t>
      </w:r>
    </w:p>
    <w:p>
      <w:pPr>
        <w:pStyle w:val="43"/>
        <w:pageBreakBefore w:val="0"/>
        <w:widowControl/>
        <w:wordWrap/>
        <w:topLinePunct w:val="0"/>
        <w:autoSpaceDE/>
        <w:autoSpaceDN/>
        <w:bidi w:val="0"/>
        <w:adjustRightInd/>
        <w:snapToGrid/>
        <w:spacing w:line="440" w:lineRule="exact"/>
        <w:ind w:firstLine="450"/>
        <w:jc w:val="left"/>
        <w:textAlignment w:val="auto"/>
        <w:rPr>
          <w:rFonts w:ascii="仿宋" w:hAnsi="仿宋" w:eastAsia="仿宋" w:cs="仿宋"/>
          <w:sz w:val="28"/>
          <w:szCs w:val="28"/>
        </w:rPr>
      </w:pPr>
      <w:r>
        <w:rPr>
          <w:rFonts w:hint="eastAsia" w:ascii="仿宋" w:hAnsi="仿宋" w:eastAsia="仿宋" w:cs="仿宋"/>
          <w:sz w:val="28"/>
          <w:szCs w:val="28"/>
        </w:rPr>
        <w:t>（2）要求投标人对投标文件有关事项作出澄清或者说明；</w:t>
      </w:r>
    </w:p>
    <w:p>
      <w:pPr>
        <w:pStyle w:val="43"/>
        <w:pageBreakBefore w:val="0"/>
        <w:widowControl/>
        <w:wordWrap/>
        <w:topLinePunct w:val="0"/>
        <w:autoSpaceDE/>
        <w:autoSpaceDN/>
        <w:bidi w:val="0"/>
        <w:adjustRightInd/>
        <w:snapToGrid/>
        <w:spacing w:line="440" w:lineRule="exact"/>
        <w:ind w:firstLine="450"/>
        <w:jc w:val="left"/>
        <w:textAlignment w:val="auto"/>
        <w:rPr>
          <w:rFonts w:ascii="仿宋" w:hAnsi="仿宋" w:eastAsia="仿宋" w:cs="仿宋"/>
          <w:sz w:val="28"/>
          <w:szCs w:val="28"/>
        </w:rPr>
      </w:pPr>
      <w:r>
        <w:rPr>
          <w:rFonts w:hint="eastAsia" w:ascii="仿宋" w:hAnsi="仿宋" w:eastAsia="仿宋" w:cs="仿宋"/>
          <w:sz w:val="28"/>
          <w:szCs w:val="28"/>
        </w:rPr>
        <w:t>（3）对投标文件进行比较和评价；</w:t>
      </w:r>
    </w:p>
    <w:p>
      <w:pPr>
        <w:pStyle w:val="43"/>
        <w:pageBreakBefore w:val="0"/>
        <w:widowControl/>
        <w:wordWrap/>
        <w:topLinePunct w:val="0"/>
        <w:autoSpaceDE/>
        <w:autoSpaceDN/>
        <w:bidi w:val="0"/>
        <w:adjustRightInd/>
        <w:snapToGrid/>
        <w:spacing w:line="440" w:lineRule="exact"/>
        <w:ind w:firstLine="450"/>
        <w:jc w:val="left"/>
        <w:textAlignment w:val="auto"/>
        <w:rPr>
          <w:rFonts w:ascii="仿宋" w:hAnsi="仿宋" w:eastAsia="仿宋" w:cs="仿宋"/>
          <w:sz w:val="28"/>
          <w:szCs w:val="28"/>
        </w:rPr>
      </w:pPr>
      <w:r>
        <w:rPr>
          <w:rFonts w:hint="eastAsia" w:ascii="仿宋" w:hAnsi="仿宋" w:eastAsia="仿宋" w:cs="仿宋"/>
          <w:sz w:val="28"/>
          <w:szCs w:val="28"/>
        </w:rPr>
        <w:t>（4）确定中标候选人名单，以及根据采购人委托直接确定中标人；</w:t>
      </w:r>
    </w:p>
    <w:p>
      <w:pPr>
        <w:pStyle w:val="43"/>
        <w:pageBreakBefore w:val="0"/>
        <w:widowControl/>
        <w:wordWrap/>
        <w:topLinePunct w:val="0"/>
        <w:autoSpaceDE/>
        <w:autoSpaceDN/>
        <w:bidi w:val="0"/>
        <w:adjustRightInd/>
        <w:snapToGrid/>
        <w:spacing w:line="440" w:lineRule="exact"/>
        <w:ind w:firstLine="450"/>
        <w:jc w:val="left"/>
        <w:textAlignment w:val="auto"/>
        <w:rPr>
          <w:rFonts w:ascii="仿宋" w:hAnsi="仿宋" w:eastAsia="仿宋" w:cs="仿宋"/>
          <w:sz w:val="28"/>
          <w:szCs w:val="28"/>
        </w:rPr>
      </w:pPr>
      <w:r>
        <w:rPr>
          <w:rFonts w:hint="eastAsia" w:ascii="仿宋" w:hAnsi="仿宋" w:eastAsia="仿宋" w:cs="仿宋"/>
          <w:sz w:val="28"/>
          <w:szCs w:val="28"/>
        </w:rPr>
        <w:t>（5）向采购人、采购代理机构或有关部门报告评标中发现的违法行为。</w:t>
      </w:r>
    </w:p>
    <w:p>
      <w:pPr>
        <w:pStyle w:val="43"/>
        <w:pageBreakBefore w:val="0"/>
        <w:widowControl/>
        <w:wordWrap/>
        <w:topLinePunct w:val="0"/>
        <w:autoSpaceDE/>
        <w:autoSpaceDN/>
        <w:bidi w:val="0"/>
        <w:adjustRightInd/>
        <w:snapToGrid/>
        <w:spacing w:line="440" w:lineRule="exact"/>
        <w:ind w:firstLine="450"/>
        <w:jc w:val="left"/>
        <w:textAlignment w:val="auto"/>
        <w:rPr>
          <w:rFonts w:ascii="仿宋" w:hAnsi="仿宋" w:eastAsia="仿宋" w:cs="仿宋"/>
          <w:sz w:val="28"/>
          <w:szCs w:val="28"/>
        </w:rPr>
      </w:pPr>
      <w:r>
        <w:rPr>
          <w:rFonts w:hint="eastAsia" w:ascii="仿宋" w:hAnsi="仿宋" w:eastAsia="仿宋" w:cs="仿宋"/>
          <w:sz w:val="28"/>
          <w:szCs w:val="28"/>
        </w:rPr>
        <w:t>（二十七）评标方法分为最低评标价法和综合评分法。</w:t>
      </w:r>
    </w:p>
    <w:p>
      <w:pPr>
        <w:pStyle w:val="43"/>
        <w:pageBreakBefore w:val="0"/>
        <w:widowControl/>
        <w:wordWrap/>
        <w:topLinePunct w:val="0"/>
        <w:autoSpaceDE/>
        <w:autoSpaceDN/>
        <w:bidi w:val="0"/>
        <w:adjustRightInd/>
        <w:snapToGrid/>
        <w:spacing w:line="440" w:lineRule="exact"/>
        <w:ind w:firstLine="450"/>
        <w:jc w:val="left"/>
        <w:textAlignment w:val="auto"/>
        <w:rPr>
          <w:rFonts w:ascii="仿宋" w:hAnsi="仿宋" w:eastAsia="仿宋" w:cs="仿宋"/>
          <w:sz w:val="28"/>
          <w:szCs w:val="28"/>
        </w:rPr>
      </w:pPr>
      <w:r>
        <w:rPr>
          <w:rFonts w:hint="eastAsia" w:ascii="仿宋" w:hAnsi="仿宋" w:eastAsia="仿宋" w:cs="仿宋"/>
          <w:sz w:val="28"/>
          <w:szCs w:val="28"/>
        </w:rPr>
        <w:t>（二十八）评标</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1.评标工作程序：</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（1）投标文件初审。</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①资格性审查。</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②符合性审查。</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（2）澄清有关问题。</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（3）比较与评价。</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（4）推荐中标候选供应商名单。</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（5）编写评审报告（评标报告）。</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2.在评标中，不得改变招标文件中规定的评标标准、方法和中标条件。评标委员会对投标文件响应性的判定，要基于投标文件本身的内容，而不得寻求外部的证据。</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3.采用</w:t>
      </w:r>
      <w:r>
        <w:fldChar w:fldCharType="begin"/>
      </w:r>
      <w:r>
        <w:instrText xml:space="preserve"> HYPERLINK "http://lilun.caigou2003.com/recijiedu/2365668.html" \t "_blank" </w:instrText>
      </w:r>
      <w:r>
        <w:fldChar w:fldCharType="separate"/>
      </w:r>
      <w:r>
        <w:rPr>
          <w:rFonts w:hint="eastAsia" w:ascii="仿宋" w:hAnsi="仿宋" w:eastAsia="仿宋" w:cs="仿宋"/>
          <w:sz w:val="28"/>
          <w:szCs w:val="28"/>
        </w:rPr>
        <w:t>最低评标价法</w:t>
      </w:r>
      <w:r>
        <w:rPr>
          <w:rFonts w:hint="eastAsia" w:ascii="仿宋" w:hAnsi="仿宋" w:eastAsia="仿宋" w:cs="仿宋"/>
          <w:sz w:val="28"/>
          <w:szCs w:val="28"/>
        </w:rPr>
        <w:fldChar w:fldCharType="end"/>
      </w:r>
      <w:r>
        <w:rPr>
          <w:rFonts w:hint="eastAsia" w:ascii="仿宋" w:hAnsi="仿宋" w:eastAsia="仿宋" w:cs="仿宋"/>
          <w:sz w:val="28"/>
          <w:szCs w:val="28"/>
        </w:rPr>
        <w:t>的采购项目，对提供相同品牌产品的不同投标人参加同一合同项下投标的，应以其中通过资格审查、符合性审查的，并且报价最低的参加评标；报价相同的，采取随机抽取方式确定，其他投标无效。</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采用</w:t>
      </w:r>
      <w:r>
        <w:fldChar w:fldCharType="begin"/>
      </w:r>
      <w:r>
        <w:instrText xml:space="preserve"> HYPERLINK "http://lilun.caigou2003.com/recijiedu/2365667.html" \t "_blank" </w:instrText>
      </w:r>
      <w:r>
        <w:fldChar w:fldCharType="separate"/>
      </w:r>
      <w:r>
        <w:rPr>
          <w:rFonts w:hint="eastAsia" w:ascii="仿宋" w:hAnsi="仿宋" w:eastAsia="仿宋" w:cs="仿宋"/>
          <w:sz w:val="28"/>
          <w:szCs w:val="28"/>
        </w:rPr>
        <w:t>综合评分法</w:t>
      </w:r>
      <w:r>
        <w:rPr>
          <w:rFonts w:hint="eastAsia" w:ascii="仿宋" w:hAnsi="仿宋" w:eastAsia="仿宋" w:cs="仿宋"/>
          <w:sz w:val="28"/>
          <w:szCs w:val="28"/>
        </w:rPr>
        <w:fldChar w:fldCharType="end"/>
      </w:r>
      <w:r>
        <w:rPr>
          <w:rFonts w:hint="eastAsia" w:ascii="仿宋" w:hAnsi="仿宋" w:eastAsia="仿宋" w:cs="仿宋"/>
          <w:sz w:val="28"/>
          <w:szCs w:val="28"/>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非单一产品采购项目，多家投标人提供的核心产品品牌相同的，按前两款规定处理。</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（二十九）投标文件报价出现前后不一致的，按照下列规定修正：</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1.投标文件中开标一览表（报价表）内容与投标文件中相应内容不一致的，以开标一览表（报价表）为准；</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2.大写金额和小写金额不一致的，以大写金额为准；</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3.单价金额小数点或者百分比有明显错位的，以开标一览表的总价为准，并修改单价；</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4.总价金额与按单价合计金额不一致的，以单价金额计算结果为准。</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同时出现两种以上不一致的，按照前款规定的顺序修正。将修正后的报价，形成投标人的澄清、说明或补正材料，经投标人确认后产生约束力。投标人不确认的，其投标无效。</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i/>
          <w:sz w:val="28"/>
          <w:szCs w:val="28"/>
        </w:rPr>
      </w:pPr>
      <w:r>
        <w:rPr>
          <w:rFonts w:hint="eastAsia" w:ascii="仿宋" w:hAnsi="仿宋" w:eastAsia="仿宋" w:cs="仿宋"/>
          <w:sz w:val="28"/>
          <w:szCs w:val="28"/>
        </w:rPr>
        <w:t>评标中需要投标人对投标文件澄清或者说明的，应当通过“苏采云”系统交换数据电文。在评标期间，请投标人保持在线。</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（三十一）评标委员会成员对需要共同认定的事项存在争议的，应当按照少数服从多数的原则作出结论。持不同意见的评标委员会成员应当在评标报告上签署不同意见及理由，否则视为同意评标报告。</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（三十二）废标条款：</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出现下列情形之一的，应予废标。</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1.符合专业条件的供应商或者对招标文件作实质响应的供应商不足三家的；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2.出现影响采购公正的违法、违规行为的；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3.投标人的报价均超过了采购预算，采购人不能支付的；</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4.因重大变故，采购任务取消的。</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六、定标</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（三十三）采购代理机构应当在评标结束后2个工作日内将评标报告送采购人。</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（三十四）采购人应当自收到评标报告之日起5个工作日内，在评标报告确定的中标候选人名单中按顺序确定中标人。</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七、政府采购合同</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（三十六）签订政府采购合同（合同签订方式）：</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1.采购人应当自中标通知书发出之日起30日内，按照招标文件和中标人投标文件的规定，与中标人签订书面合同。所签订的合同不得对招标文件确定的事项和中标人投标文件作实质性修改。</w:t>
      </w:r>
    </w:p>
    <w:p>
      <w:pPr>
        <w:pStyle w:val="43"/>
        <w:pageBreakBefore w:val="0"/>
        <w:widowControl/>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采购人不得向中标人提出任何不合理的要求作为签订合同的条件。</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2.中标或者成交供应商拒绝与采购人签订合同的，采购人可以按照评审报告推荐的中标或者成交候选人名单排序，确定下一个候选人为中标或者成交供应商，也可以重新开展政府采购活动。</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（三十七）采购人与中标人应当根据合同的约定依法履行合同义务。政府采购合同的履行、违约责任和解决争议的方法等，按《中华人民共和国民法典》相关条款执行。</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（三十八）履约保证金：</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1.中标人应在政府采购合同签订后，向采购人提交本文件第三章《投标资料表》中规定金额的履约保证金。</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2.如果中标人没有遵守本章（三十八）1 或本章（三十九） 的规定，采购代理机构有权取消该中标决定。在此情况下，采购人可以与排位在中标人之后第一位的中标候选人签订政府采购合同，以此类推。</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（三十九）腐败和欺诈行为：</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1.采购代理机构、采购人、投标人等参与招投标的各方，均应在招标、采购、合同执行等过程中保持廉洁和最高的道德水准。</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（1）腐败和欺诈行为的含义：</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①“腐败行为”系指在招标、采购和合同执行等过程中，为了谋求私利，影响相关人员提供、给予、接受或索取有价物品，并导致损害买方、卖方、采购代理机构和他人利益的行为。</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②“欺诈行为”系指为了影响招标、采购和合同执行等过程，隐瞒事实真象，给买方、卖方、采购代理机构及他人造成损害的行为，其中包括投标人之间的串通行为。</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（2）如果被推荐的中标人有腐败和欺诈行为，将取消其中标资格。</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（3）如果投标人在任何时候，被法院及政府有关管理部门认定为有腐败和欺诈行为，采购代理机构有权拒绝其投标、取消其中标资格和撤消其已签署的合同。</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八、询问和质疑</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（四十）询问和质疑</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九、电子招标投标交易平台</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30"/>
          <w:szCs w:val="30"/>
        </w:rPr>
      </w:pPr>
      <w:r>
        <w:rPr>
          <w:rFonts w:hint="eastAsia" w:ascii="仿宋" w:hAnsi="仿宋" w:eastAsia="仿宋" w:cs="仿宋"/>
          <w:sz w:val="28"/>
          <w:szCs w:val="28"/>
        </w:rPr>
        <w:t>（四十一）电子招标投标交易平台（即“苏采云”系统，网址：</w:t>
      </w:r>
      <w:r>
        <w:fldChar w:fldCharType="begin"/>
      </w:r>
      <w:r>
        <w:instrText xml:space="preserve"> HYPERLINK "http://jszfcg.jsczt.cn/" \o "http://jszfcg.jsczt.cn/" </w:instrText>
      </w:r>
      <w:r>
        <w:fldChar w:fldCharType="separate"/>
      </w:r>
      <w:r>
        <w:rPr>
          <w:rFonts w:hint="eastAsia" w:ascii="仿宋" w:hAnsi="仿宋" w:eastAsia="仿宋" w:cs="仿宋"/>
          <w:sz w:val="28"/>
          <w:szCs w:val="28"/>
        </w:rPr>
        <w:t>http://jszfcg.jsczt.cn/</w:t>
      </w:r>
      <w:r>
        <w:rPr>
          <w:rFonts w:hint="eastAsia" w:ascii="仿宋" w:hAnsi="仿宋" w:eastAsia="仿宋" w:cs="仿宋"/>
          <w:sz w:val="28"/>
          <w:szCs w:val="28"/>
        </w:rPr>
        <w:fldChar w:fldCharType="end"/>
      </w:r>
      <w:r>
        <w:rPr>
          <w:rFonts w:hint="eastAsia" w:ascii="仿宋" w:hAnsi="仿宋" w:eastAsia="仿宋" w:cs="仿宋"/>
          <w:sz w:val="28"/>
          <w:szCs w:val="28"/>
        </w:rPr>
        <w:t>）相关要求是本招标文件的组成部分。</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特别说明：“苏采云”系统通过“江苏省政府采购一体化不见面开标大厅”提醒投标人。投标人自行查看，投标人因自身原因不及时查看导致没收到信息，“苏采云”系统不承担任何责任。</w:t>
      </w:r>
    </w:p>
    <w:p>
      <w:pPr>
        <w:pStyle w:val="43"/>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p>
    <w:p>
      <w:pPr>
        <w:pStyle w:val="215"/>
        <w:pageBreakBefore w:val="0"/>
        <w:wordWrap/>
        <w:topLinePunct w:val="0"/>
        <w:autoSpaceDE/>
        <w:autoSpaceDN/>
        <w:bidi w:val="0"/>
        <w:adjustRightInd/>
        <w:snapToGrid/>
        <w:spacing w:line="440" w:lineRule="exact"/>
        <w:textAlignment w:val="auto"/>
        <w:rPr>
          <w:rFonts w:ascii="仿宋" w:hAnsi="仿宋" w:eastAsia="仿宋" w:cs="仿宋"/>
        </w:rPr>
      </w:pPr>
      <w:r>
        <w:rPr>
          <w:rFonts w:hint="eastAsia" w:ascii="仿宋" w:hAnsi="仿宋" w:eastAsia="仿宋" w:cs="仿宋"/>
        </w:rPr>
        <w:br w:type="page" w:clear="all"/>
      </w:r>
      <w:r>
        <w:rPr>
          <w:rFonts w:hint="eastAsia" w:ascii="仿宋" w:hAnsi="仿宋" w:eastAsia="仿宋" w:cs="仿宋"/>
        </w:rPr>
        <w:t>第三章  投标资料表</w:t>
      </w:r>
      <w:bookmarkEnd w:id="7"/>
      <w:bookmarkEnd w:id="8"/>
    </w:p>
    <w:p>
      <w:pPr>
        <w:pStyle w:val="216"/>
        <w:pageBreakBefore w:val="0"/>
        <w:wordWrap/>
        <w:topLinePunct w:val="0"/>
        <w:autoSpaceDE/>
        <w:autoSpaceDN/>
        <w:bidi w:val="0"/>
        <w:adjustRightInd/>
        <w:snapToGrid/>
        <w:spacing w:line="440" w:lineRule="exact"/>
        <w:ind w:firstLine="600"/>
        <w:textAlignment w:val="auto"/>
        <w:rPr>
          <w:rFonts w:ascii="仿宋" w:hAnsi="仿宋" w:eastAsia="仿宋" w:cs="仿宋"/>
          <w:szCs w:val="28"/>
        </w:rPr>
      </w:pPr>
      <w:r>
        <w:rPr>
          <w:rFonts w:hint="eastAsia" w:ascii="仿宋" w:hAnsi="仿宋" w:eastAsia="仿宋" w:cs="仿宋"/>
          <w:szCs w:val="28"/>
        </w:rPr>
        <w:t>该资料表的条款项号是与《投标人须知》的条款项号相对应的，若有增加的条款，是对《投标人须知》的补充、修改和完善，如果因此而造成矛盾时，应以本资料表为准。</w:t>
      </w:r>
    </w:p>
    <w:tbl>
      <w:tblPr>
        <w:tblStyle w:val="34"/>
        <w:tblW w:w="100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8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b/>
                <w:sz w:val="28"/>
                <w:szCs w:val="28"/>
              </w:rPr>
            </w:pPr>
            <w:r>
              <w:rPr>
                <w:rFonts w:hint="eastAsia" w:ascii="仿宋" w:hAnsi="仿宋" w:eastAsia="仿宋" w:cs="仿宋"/>
                <w:b/>
                <w:sz w:val="28"/>
                <w:szCs w:val="28"/>
              </w:rPr>
              <w:t>条款项号</w:t>
            </w:r>
          </w:p>
        </w:tc>
        <w:tc>
          <w:tcPr>
            <w:tcW w:w="8363"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b/>
                <w:sz w:val="28"/>
                <w:szCs w:val="28"/>
              </w:rPr>
            </w:pPr>
            <w:r>
              <w:rPr>
                <w:rFonts w:hint="eastAsia" w:ascii="仿宋" w:hAnsi="仿宋" w:eastAsia="仿宋" w:cs="仿宋"/>
                <w:b/>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一</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(一)</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本项目采购人：新沂市环境卫生管理处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(二)</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本次采购采用的政府采购方式：公开招标。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(四)</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采购人确定的采购项目属性：货物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(五)</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本项目采购代理机构：徐州鹏苏项目管理有限公司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(六)</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投标人的资格条件：</w:t>
            </w:r>
          </w:p>
          <w:p>
            <w:pPr>
              <w:pStyle w:val="43"/>
              <w:pageBreakBefore w:val="0"/>
              <w:wordWrap/>
              <w:topLinePunct w:val="0"/>
              <w:autoSpaceDE/>
              <w:autoSpaceDN/>
              <w:bidi w:val="0"/>
              <w:adjustRightInd/>
              <w:snapToGrid/>
              <w:spacing w:line="440" w:lineRule="exact"/>
              <w:textAlignment w:val="auto"/>
              <w:rPr>
                <w:rFonts w:ascii="仿宋" w:hAnsi="仿宋" w:eastAsia="仿宋" w:cs="仿宋"/>
                <w:b/>
                <w:bCs/>
                <w:color w:val="auto"/>
                <w:sz w:val="28"/>
                <w:szCs w:val="28"/>
              </w:rPr>
            </w:pPr>
            <w:r>
              <w:rPr>
                <w:rFonts w:hint="eastAsia" w:ascii="仿宋" w:hAnsi="仿宋" w:eastAsia="仿宋" w:cs="仿宋"/>
                <w:b/>
                <w:bCs/>
                <w:sz w:val="28"/>
                <w:szCs w:val="28"/>
              </w:rPr>
              <w:t>一、符合《中</w:t>
            </w:r>
            <w:r>
              <w:rPr>
                <w:rFonts w:hint="eastAsia" w:ascii="仿宋" w:hAnsi="仿宋" w:eastAsia="仿宋" w:cs="仿宋"/>
                <w:b/>
                <w:bCs/>
                <w:color w:val="auto"/>
                <w:sz w:val="28"/>
                <w:szCs w:val="28"/>
              </w:rPr>
              <w:t>华人民共和国政府采购法》第二十二条的规定；</w:t>
            </w:r>
          </w:p>
          <w:p>
            <w:pPr>
              <w:pStyle w:val="43"/>
              <w:pageBreakBefore w:val="0"/>
              <w:wordWrap/>
              <w:topLinePunct w:val="0"/>
              <w:autoSpaceDE/>
              <w:autoSpaceDN/>
              <w:bidi w:val="0"/>
              <w:adjustRightInd/>
              <w:snapToGrid/>
              <w:spacing w:line="440" w:lineRule="exact"/>
              <w:textAlignment w:val="auto"/>
              <w:rPr>
                <w:rFonts w:ascii="仿宋" w:hAnsi="仿宋" w:eastAsia="仿宋" w:cs="仿宋"/>
                <w:b/>
                <w:bCs/>
                <w:color w:val="auto"/>
                <w:sz w:val="28"/>
                <w:szCs w:val="28"/>
              </w:rPr>
            </w:pPr>
            <w:r>
              <w:rPr>
                <w:rFonts w:hint="eastAsia" w:ascii="仿宋" w:hAnsi="仿宋" w:eastAsia="仿宋" w:cs="仿宋"/>
                <w:b/>
                <w:bCs/>
                <w:color w:val="auto"/>
                <w:sz w:val="28"/>
                <w:szCs w:val="28"/>
              </w:rPr>
              <w:t>二、此项目不属于专门面向中小微企业采购的项目。</w:t>
            </w:r>
          </w:p>
          <w:p>
            <w:pPr>
              <w:pStyle w:val="43"/>
              <w:pageBreakBefore w:val="0"/>
              <w:wordWrap/>
              <w:topLinePunct w:val="0"/>
              <w:autoSpaceDE/>
              <w:autoSpaceDN/>
              <w:bidi w:val="0"/>
              <w:adjustRightInd/>
              <w:snapToGrid/>
              <w:spacing w:line="440" w:lineRule="exact"/>
              <w:textAlignment w:val="auto"/>
              <w:rPr>
                <w:rFonts w:ascii="仿宋" w:hAnsi="仿宋" w:eastAsia="仿宋" w:cs="仿宋"/>
                <w:b/>
                <w:bCs/>
                <w:sz w:val="28"/>
                <w:szCs w:val="28"/>
              </w:rPr>
            </w:pPr>
            <w:r>
              <w:rPr>
                <w:rFonts w:hint="eastAsia" w:ascii="仿宋" w:hAnsi="仿宋" w:eastAsia="仿宋" w:cs="仿宋"/>
                <w:b/>
                <w:bCs/>
                <w:color w:val="auto"/>
                <w:sz w:val="28"/>
                <w:szCs w:val="28"/>
              </w:rPr>
              <w:t>三、本项目的特</w:t>
            </w:r>
            <w:r>
              <w:rPr>
                <w:rFonts w:hint="eastAsia" w:ascii="仿宋" w:hAnsi="仿宋" w:eastAsia="仿宋" w:cs="仿宋"/>
                <w:b/>
                <w:bCs/>
                <w:sz w:val="28"/>
                <w:szCs w:val="28"/>
              </w:rPr>
              <w:t>定资格要求：无。</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同时明确相关事项如下：</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1.本项目不接受联合体参与采购活动。</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2.单位负责人为同一人或者存在直接控股、管理关系的不同供应商，不得参加同一合同项下的政府采购活动。</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3.为本采购项目提供整体设计、规范编制或者项目管理、监理、检测等服务的供应商，不得再参加本采购项目的采购活动。</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4.查询及使用供应商信用记录：</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(一)由采购人查询信用信息。</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(二)查询渠道包括：</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1.“信用中国”网（www.creditchina.gov.cn）；</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2.中国政府采购网（www.ccgp.gov.cn）；</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3.“信用江苏”网（http://credit.jiangsu.gov.cn）；</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4.信用中国（江苏徐州）（http://www.xuzhoucredit.gov.cn）；</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(三)截止时点（查询环节）：开标后资格审查结束前。</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(四)信用信息查询记录和证据留存的具体方式：网页截屏打印，与其他采购文件一并保存。</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(五)信用信息的使用规则：</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(七)</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招标代理服务费由中标人支付，标准不高于《招标代理服务收费标准》（见附件）。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二</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(九)1</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(九)2</w:t>
            </w:r>
          </w:p>
        </w:tc>
        <w:tc>
          <w:tcPr>
            <w:tcW w:w="8363" w:type="dxa"/>
          </w:tcPr>
          <w:p>
            <w:pPr>
              <w:pStyle w:val="43"/>
              <w:pageBreakBefore w:val="0"/>
              <w:tabs>
                <w:tab w:val="left" w:pos="5760"/>
              </w:tabs>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不安排现场考察。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(九)3</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不安排开标前答疑会。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三</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(十一)</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投标文件的语言为中文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(十二)1</w:t>
            </w:r>
          </w:p>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(十二)2</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b/>
                <w:sz w:val="28"/>
                <w:szCs w:val="28"/>
              </w:rPr>
            </w:pPr>
            <w:r>
              <w:rPr>
                <w:rFonts w:hint="eastAsia" w:ascii="仿宋" w:hAnsi="仿宋" w:eastAsia="仿宋" w:cs="仿宋"/>
                <w:b/>
                <w:sz w:val="28"/>
                <w:szCs w:val="28"/>
              </w:rPr>
              <w:t>投标文件编制要求：</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请按照以下要求（包括但不限于以下要求）制作：</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一、基本目录</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《开标一览表》（加盖电子签章，政府采购客户端工具输入报价自动生成）。</w:t>
            </w:r>
          </w:p>
          <w:p>
            <w:pPr>
              <w:pStyle w:val="43"/>
              <w:pageBreakBefore w:val="0"/>
              <w:wordWrap/>
              <w:topLinePunct w:val="0"/>
              <w:autoSpaceDE/>
              <w:autoSpaceDN/>
              <w:bidi w:val="0"/>
              <w:adjustRightInd/>
              <w:snapToGrid/>
              <w:spacing w:line="440" w:lineRule="exact"/>
              <w:textAlignment w:val="auto"/>
              <w:rPr>
                <w:rFonts w:ascii="仿宋" w:hAnsi="仿宋" w:eastAsia="仿宋" w:cs="仿宋"/>
                <w:b/>
                <w:sz w:val="28"/>
                <w:szCs w:val="28"/>
              </w:rPr>
            </w:pPr>
            <w:r>
              <w:rPr>
                <w:rFonts w:hint="eastAsia" w:ascii="仿宋" w:hAnsi="仿宋" w:eastAsia="仿宋" w:cs="仿宋"/>
                <w:b/>
                <w:sz w:val="28"/>
                <w:szCs w:val="28"/>
              </w:rPr>
              <w:t>二、资格条件（1-</w:t>
            </w:r>
            <w:r>
              <w:rPr>
                <w:rFonts w:hint="eastAsia" w:ascii="仿宋" w:hAnsi="仿宋" w:eastAsia="仿宋" w:cs="仿宋"/>
                <w:b/>
                <w:sz w:val="28"/>
                <w:szCs w:val="28"/>
                <w:lang w:val="en-US" w:eastAsia="zh-CN"/>
              </w:rPr>
              <w:t>5</w:t>
            </w:r>
            <w:r>
              <w:rPr>
                <w:rFonts w:hint="eastAsia" w:ascii="仿宋" w:hAnsi="仿宋" w:eastAsia="仿宋" w:cs="仿宋"/>
                <w:b/>
                <w:sz w:val="28"/>
                <w:szCs w:val="28"/>
              </w:rPr>
              <w:t>必须提供，否则投标无效）</w:t>
            </w:r>
          </w:p>
          <w:p>
            <w:pPr>
              <w:pStyle w:val="43"/>
              <w:pageBreakBefore w:val="0"/>
              <w:widowControl/>
              <w:wordWrap/>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1.</w:t>
            </w:r>
            <w:bookmarkStart w:id="9" w:name="OLE_LINK58"/>
            <w:r>
              <w:rPr>
                <w:rFonts w:hint="eastAsia" w:ascii="仿宋" w:hAnsi="仿宋" w:eastAsia="仿宋" w:cs="仿宋"/>
                <w:sz w:val="28"/>
                <w:szCs w:val="28"/>
              </w:rPr>
              <w:t>具有独立承担民事责任的能力，提供投标人合法有效的法人的营业执照或其他组织应提供合法证明文件的原件扫描件(加盖电子签章)。</w:t>
            </w:r>
            <w:bookmarkEnd w:id="9"/>
          </w:p>
          <w:p>
            <w:pPr>
              <w:pStyle w:val="43"/>
              <w:pageBreakBefore w:val="0"/>
              <w:widowControl/>
              <w:wordWrap/>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2.</w:t>
            </w:r>
            <w:bookmarkStart w:id="10" w:name="OLE_LINK59"/>
            <w:bookmarkStart w:id="11" w:name="OLE_LINK2"/>
            <w:r>
              <w:rPr>
                <w:rFonts w:hint="eastAsia" w:ascii="仿宋" w:hAnsi="仿宋" w:eastAsia="仿宋" w:cs="仿宋"/>
                <w:sz w:val="28"/>
                <w:szCs w:val="28"/>
              </w:rPr>
              <w:t>财务状况报告，至少提供：即提供投标人的本项目开标时间前6个月内任何1月（不含开标当月）的资产负债表原件的扫描件1份；投标人的本项目开标时间前6个月内任何1月（不含开标当月）利润表原件的扫描件1份。</w:t>
            </w:r>
            <w:bookmarkEnd w:id="10"/>
          </w:p>
          <w:bookmarkEnd w:id="11"/>
          <w:p>
            <w:pPr>
              <w:pStyle w:val="43"/>
              <w:pageBreakBefore w:val="0"/>
              <w:widowControl/>
              <w:wordWrap/>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3.</w:t>
            </w:r>
            <w:bookmarkStart w:id="12" w:name="OLE_LINK60"/>
            <w:bookmarkStart w:id="13" w:name="OLE_LINK3"/>
            <w:r>
              <w:rPr>
                <w:rFonts w:hint="eastAsia" w:ascii="仿宋" w:hAnsi="仿宋" w:eastAsia="仿宋" w:cs="仿宋"/>
                <w:sz w:val="28"/>
                <w:szCs w:val="28"/>
              </w:rPr>
              <w:t>投标人的本项目开标时间前6个月内（不含开标当月）任何1月的依法缴纳税收和社会保障资金的相关材料扫描件；依法免税或不需要缴纳社会保障资金的投标人应提供相应其依法免税或不需要缴纳社会保障资金的证明文件扫描件；</w:t>
            </w:r>
            <w:bookmarkEnd w:id="12"/>
          </w:p>
          <w:bookmarkEnd w:id="13"/>
          <w:p>
            <w:pPr>
              <w:pStyle w:val="43"/>
              <w:pageBreakBefore w:val="0"/>
              <w:widowControl/>
              <w:wordWrap/>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4.</w:t>
            </w:r>
            <w:bookmarkStart w:id="14" w:name="OLE_LINK61"/>
            <w:r>
              <w:rPr>
                <w:rFonts w:hint="eastAsia" w:ascii="仿宋" w:hAnsi="仿宋" w:eastAsia="仿宋" w:cs="仿宋"/>
                <w:sz w:val="28"/>
                <w:szCs w:val="28"/>
              </w:rPr>
              <w:t>具备履行合同所必需的设备和专业技术能力的证明材料提供</w:t>
            </w:r>
            <w:bookmarkStart w:id="15" w:name="OLE_LINK45"/>
            <w:r>
              <w:rPr>
                <w:rFonts w:hint="eastAsia" w:ascii="仿宋" w:hAnsi="仿宋" w:eastAsia="仿宋" w:cs="仿宋"/>
                <w:sz w:val="28"/>
                <w:szCs w:val="28"/>
              </w:rPr>
              <w:t>具备履行合同</w:t>
            </w:r>
            <w:bookmarkEnd w:id="15"/>
            <w:r>
              <w:rPr>
                <w:rFonts w:hint="eastAsia" w:ascii="仿宋" w:hAnsi="仿宋" w:eastAsia="仿宋" w:cs="仿宋"/>
                <w:sz w:val="28"/>
                <w:szCs w:val="28"/>
              </w:rPr>
              <w:t>所必需的设备和专业技术能力的书面声明（格式见招标文件第七章《投标文件相关格式》）。</w:t>
            </w:r>
            <w:bookmarkEnd w:id="14"/>
          </w:p>
          <w:p>
            <w:pPr>
              <w:pStyle w:val="43"/>
              <w:pageBreakBefore w:val="0"/>
              <w:widowControl/>
              <w:wordWrap/>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5.</w:t>
            </w:r>
            <w:bookmarkStart w:id="16" w:name="OLE_LINK62"/>
            <w:r>
              <w:rPr>
                <w:rFonts w:hint="eastAsia" w:ascii="仿宋" w:hAnsi="仿宋" w:eastAsia="仿宋" w:cs="仿宋"/>
                <w:sz w:val="28"/>
                <w:szCs w:val="28"/>
              </w:rPr>
              <w:t>投标人参加政府采购活动前3年内在经营活动中没有重大违法记录的书面声明（加盖电子签章，格式见招标文件第七章《投标文件相关格式》）。</w:t>
            </w:r>
            <w:bookmarkEnd w:id="16"/>
          </w:p>
          <w:p>
            <w:pPr>
              <w:pStyle w:val="43"/>
              <w:pageBreakBefore w:val="0"/>
              <w:widowControl/>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6.供应商关于单位负责人为同一人或者存在直接控股、管理关系的不同供应商，不得参加同一合同项下的政府采购活动的承诺。（加盖电子签章，格式见招标文件第七章《投标文件相关格式》）；</w:t>
            </w:r>
          </w:p>
          <w:p>
            <w:pPr>
              <w:pStyle w:val="43"/>
              <w:pageBreakBefore w:val="0"/>
              <w:widowControl/>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7.供应商不是为本采购项目提供整体设计、规范编制或者项目管理、监理、检测等服务的供应商的书面声明（加盖电子签章，格式见招标文件第七章《投标文件相关格式》）；</w:t>
            </w:r>
          </w:p>
          <w:p>
            <w:pPr>
              <w:pStyle w:val="43"/>
              <w:pageBreakBefore w:val="0"/>
              <w:widowControl/>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8.投标人信用信息（要求见本章条款项号“(六)”中“四、”内容）。</w:t>
            </w:r>
          </w:p>
          <w:p>
            <w:pPr>
              <w:pStyle w:val="43"/>
              <w:pageBreakBefore w:val="0"/>
              <w:wordWrap/>
              <w:topLinePunct w:val="0"/>
              <w:autoSpaceDE/>
              <w:autoSpaceDN/>
              <w:bidi w:val="0"/>
              <w:adjustRightInd/>
              <w:snapToGrid/>
              <w:spacing w:line="440" w:lineRule="exact"/>
              <w:textAlignment w:val="auto"/>
              <w:rPr>
                <w:rFonts w:ascii="仿宋" w:hAnsi="仿宋" w:eastAsia="仿宋" w:cs="仿宋"/>
                <w:b/>
                <w:sz w:val="28"/>
                <w:szCs w:val="28"/>
              </w:rPr>
            </w:pPr>
            <w:r>
              <w:rPr>
                <w:rFonts w:hint="eastAsia" w:ascii="仿宋" w:hAnsi="仿宋" w:eastAsia="仿宋" w:cs="仿宋"/>
                <w:b/>
                <w:sz w:val="28"/>
                <w:szCs w:val="28"/>
              </w:rPr>
              <w:t>三、符合条件（必须提供，否则投标无效）</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（一）报价</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《分项价格表》（加盖电子签章，格式见招标文件第七章《投标文件相关格式》。）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（二）商务资信</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1.《投标函》（加盖电子签章，格式见招标文件第七章《投标文件相关格式》。）；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2.《法定代表人授权书》（提供原件的扫描件，格式见招标文件第七章《投标文件相关格式》）。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（三）技术响应</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《偏离表》（加盖电子签章，格式见招标文件第七章《投标文件相关格式》。）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b/>
                <w:sz w:val="28"/>
                <w:szCs w:val="28"/>
              </w:rPr>
            </w:pPr>
            <w:r>
              <w:rPr>
                <w:rFonts w:hint="eastAsia" w:ascii="仿宋" w:hAnsi="仿宋" w:eastAsia="仿宋" w:cs="仿宋"/>
                <w:b/>
                <w:sz w:val="28"/>
                <w:szCs w:val="28"/>
              </w:rPr>
              <w:t>四、综合评审评分项</w:t>
            </w:r>
          </w:p>
          <w:p>
            <w:pPr>
              <w:pStyle w:val="43"/>
              <w:pageBreakBefore w:val="0"/>
              <w:wordWrap/>
              <w:topLinePunct w:val="0"/>
              <w:autoSpaceDE/>
              <w:autoSpaceDN/>
              <w:bidi w:val="0"/>
              <w:adjustRightInd/>
              <w:snapToGrid/>
              <w:spacing w:line="440" w:lineRule="exact"/>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（一）技术部分</w:t>
            </w:r>
          </w:p>
          <w:p>
            <w:pPr>
              <w:pStyle w:val="43"/>
              <w:pageBreakBefore w:val="0"/>
              <w:wordWrap/>
              <w:topLinePunct w:val="0"/>
              <w:autoSpaceDE/>
              <w:autoSpaceDN/>
              <w:bidi w:val="0"/>
              <w:adjustRightInd/>
              <w:snapToGrid/>
              <w:spacing w:line="440" w:lineRule="exact"/>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根据评分细则和采购需求自行编写，并附相关证明材料扫描件；</w:t>
            </w: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bCs/>
                <w:color w:val="000000"/>
                <w:sz w:val="28"/>
                <w:szCs w:val="28"/>
              </w:rPr>
              <w:t>（格式自拟，要求见招标文件第四章《评标标准》、第六章《采购需求》）</w:t>
            </w:r>
            <w:r>
              <w:rPr>
                <w:rFonts w:hint="eastAsia" w:ascii="仿宋" w:hAnsi="仿宋" w:eastAsia="仿宋" w:cs="仿宋"/>
                <w:color w:val="000000"/>
                <w:sz w:val="28"/>
                <w:szCs w:val="28"/>
              </w:rPr>
              <w:t>；</w:t>
            </w: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（二）商务部分</w:t>
            </w:r>
          </w:p>
          <w:p>
            <w:pPr>
              <w:pStyle w:val="43"/>
              <w:pageBreakBefore w:val="0"/>
              <w:wordWrap/>
              <w:topLinePunct w:val="0"/>
              <w:autoSpaceDE/>
              <w:autoSpaceDN/>
              <w:bidi w:val="0"/>
              <w:adjustRightInd/>
              <w:snapToGrid/>
              <w:spacing w:line="440" w:lineRule="exact"/>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根据评分细则和采购需求自行编写，并附相关证明材料扫描件；</w:t>
            </w:r>
          </w:p>
          <w:p>
            <w:pPr>
              <w:pStyle w:val="43"/>
              <w:pageBreakBefore w:val="0"/>
              <w:wordWrap/>
              <w:topLinePunct w:val="0"/>
              <w:autoSpaceDE/>
              <w:autoSpaceDN/>
              <w:bidi w:val="0"/>
              <w:adjustRightInd/>
              <w:snapToGrid/>
              <w:spacing w:line="440" w:lineRule="exact"/>
              <w:jc w:val="left"/>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（格式自拟，要求见招标文件第四章《评标标准》、第六章《采购需求》）</w:t>
            </w:r>
            <w:r>
              <w:rPr>
                <w:rFonts w:hint="eastAsia" w:ascii="仿宋" w:hAnsi="仿宋" w:eastAsia="仿宋" w:cs="仿宋"/>
                <w:color w:val="000000"/>
                <w:sz w:val="28"/>
                <w:szCs w:val="28"/>
              </w:rPr>
              <w:t>；</w:t>
            </w:r>
          </w:p>
          <w:p>
            <w:pPr>
              <w:pStyle w:val="43"/>
              <w:pageBreakBefore w:val="0"/>
              <w:wordWrap/>
              <w:topLinePunct w:val="0"/>
              <w:autoSpaceDE/>
              <w:autoSpaceDN/>
              <w:bidi w:val="0"/>
              <w:adjustRightInd/>
              <w:snapToGrid/>
              <w:spacing w:line="440" w:lineRule="exact"/>
              <w:textAlignment w:val="auto"/>
              <w:rPr>
                <w:rFonts w:ascii="仿宋" w:hAnsi="仿宋" w:eastAsia="仿宋" w:cs="仿宋"/>
                <w:b/>
                <w:sz w:val="28"/>
                <w:szCs w:val="28"/>
              </w:rPr>
            </w:pPr>
            <w:r>
              <w:rPr>
                <w:rFonts w:hint="eastAsia" w:ascii="仿宋" w:hAnsi="仿宋" w:eastAsia="仿宋" w:cs="仿宋"/>
                <w:b/>
                <w:sz w:val="28"/>
                <w:szCs w:val="28"/>
              </w:rPr>
              <w:t>五、价格折扣文件格式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企业报价折扣证明：</w:t>
            </w:r>
          </w:p>
          <w:p>
            <w:pPr>
              <w:pStyle w:val="43"/>
              <w:pageBreakBefore w:val="0"/>
              <w:wordWrap/>
              <w:topLinePunct w:val="0"/>
              <w:autoSpaceDE/>
              <w:autoSpaceDN/>
              <w:bidi w:val="0"/>
              <w:adjustRightInd/>
              <w:snapToGrid/>
              <w:spacing w:line="44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提供的货物全部由符合政策要求的中小企业制造，提供《中小企业声明函》（填写完整，加盖电子签章，格式见招标文件第七章《投标文件相关格式》。如不填写完整或未按要求填写的，视为无效）。</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《中小企业声明函》查询渠道参考工业和信息化部发布的中小企业规模自测小程序。中小企业规模自测小程序详见《中小企业声明函》。</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注：具体以《政府采购促进中小企业发展管理办法》（财库[2020]46号）和《关于印发中小企业划型标准规定的通知》（工信部联企业[2011]300号）的规定为准。</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注：监狱企业和残疾人福利性单位等同于小微企业。</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 xml:space="preserve">    投标人为监狱企业的，提供省级以上监狱管理局、戒毒管理局（含新疆生产建设兵团）出具的属于监狱企业的证明文件原件的扫描件。</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具体以《财政部 司法部关于政府采购支持监狱企业发展有关问题的通知》（财库〔2014〕68号）的规定为准。</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 xml:space="preserve">    投标人为享受政府采购支持政策的残疾人福利性单位的，提供《残疾人福利性单位声明函》（加盖电子签章，格式见招标文件第七章《投标文件相关格式》）。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享受政府采购支持政策的残疾人福利性单位应当同时满足以下条件：</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①安置的残疾人占本单位在职职工人数的比例不低于25%（含25%），并且安置的残疾人人数不少于10人（含10人）；</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②依法与安置的每位残疾人签订了一年以上（含一年）的劳动合同或服务协议；</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③为安置的每位残疾人按月足额缴纳了基本养老保险、基本医疗保险、失业保险、工伤保险和生育保险等社会保险费；</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④通过银行等金融机构向安置的每位残疾人，按月支付了不低于单位所在区县适用的经省级人民政府批准的月最低工资标准的工资；</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⑤提供本单位制造的货物、承担的工程或者服务（以下简称产品），或者提供其他残疾人福利性单位制造的货物（不包括使用非残疾人福利性单位注册商标的货物）。</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43"/>
              <w:pageBreakBefore w:val="0"/>
              <w:widowControl/>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sz w:val="28"/>
                <w:szCs w:val="28"/>
              </w:rPr>
              <w:t>  具体以《三部门联合发布关于促进残疾人就业政府采购政策的通知》（财库〔2017〕141号）规定为准</w:t>
            </w:r>
            <w:r>
              <w:rPr>
                <w:rFonts w:hint="eastAsia" w:ascii="仿宋" w:hAnsi="仿宋" w:eastAsia="仿宋" w:cs="仿宋"/>
                <w:bCs/>
                <w:sz w:val="28"/>
                <w:szCs w:val="28"/>
              </w:rPr>
              <w:t>。</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注：</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1.投标人应对以上文件的合法性、真实性负责。</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highlight w:val="yellow"/>
              </w:rPr>
            </w:pPr>
            <w:r>
              <w:rPr>
                <w:rFonts w:hint="eastAsia" w:ascii="仿宋" w:hAnsi="仿宋" w:eastAsia="仿宋" w:cs="仿宋"/>
                <w:bCs/>
                <w:sz w:val="28"/>
                <w:szCs w:val="28"/>
              </w:rPr>
              <w:t>2.签订合同前，中标人必须向采购人提交其投标文件中所有扫描件的原件，采购人核查无误后，签订合同。如中标人不能在采购人规定的时间内向采购人提供原件，将被采购人视为放弃中标资格。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(十三)2</w:t>
            </w:r>
          </w:p>
        </w:tc>
        <w:tc>
          <w:tcPr>
            <w:tcW w:w="8363" w:type="dxa"/>
          </w:tcPr>
          <w:p>
            <w:pPr>
              <w:pStyle w:val="43"/>
              <w:pageBreakBefore w:val="0"/>
              <w:widowControl/>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商务条件见：</w:t>
            </w:r>
          </w:p>
          <w:p>
            <w:pPr>
              <w:pStyle w:val="43"/>
              <w:pageBreakBefore w:val="0"/>
              <w:widowControl/>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一、本文件第四章《评标标准》中《评分细则》。</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sz w:val="28"/>
                <w:szCs w:val="28"/>
              </w:rPr>
              <w:t>二、本文件第三章《投标资料表》中(十二)1和(十二)2。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(十三)3</w:t>
            </w:r>
          </w:p>
        </w:tc>
        <w:tc>
          <w:tcPr>
            <w:tcW w:w="8363" w:type="dxa"/>
          </w:tcPr>
          <w:p>
            <w:pPr>
              <w:pStyle w:val="43"/>
              <w:pageBreakBefore w:val="0"/>
              <w:widowControl/>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交货和提供服务的时间：见本文件第五章《拟签订的合同文本》及或本文件第六章《采购需求》。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(十四)3</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bCs/>
                <w:sz w:val="28"/>
                <w:szCs w:val="28"/>
              </w:rPr>
              <w:t>本项目不接受超</w:t>
            </w:r>
            <w:r>
              <w:rPr>
                <w:rFonts w:hint="eastAsia" w:ascii="仿宋" w:hAnsi="仿宋" w:eastAsia="仿宋" w:cs="仿宋"/>
                <w:sz w:val="28"/>
                <w:szCs w:val="28"/>
              </w:rPr>
              <w:t>过</w:t>
            </w:r>
            <w:r>
              <w:rPr>
                <w:rFonts w:hint="eastAsia" w:ascii="仿宋" w:hAnsi="仿宋" w:eastAsia="仿宋" w:cs="仿宋"/>
                <w:b/>
                <w:bCs/>
                <w:sz w:val="28"/>
                <w:szCs w:val="28"/>
              </w:rPr>
              <w:t>240.00万元</w:t>
            </w:r>
            <w:r>
              <w:rPr>
                <w:rFonts w:hint="eastAsia" w:ascii="仿宋" w:hAnsi="仿宋" w:eastAsia="仿宋" w:cs="仿宋"/>
                <w:bCs/>
                <w:sz w:val="28"/>
                <w:szCs w:val="28"/>
              </w:rPr>
              <w:t>人民币（采购项目预算金额）的投标报价。</w:t>
            </w:r>
            <w:r>
              <w:rPr>
                <w:rFonts w:hint="eastAsia" w:ascii="仿宋" w:hAnsi="仿宋" w:eastAsia="仿宋" w:cs="仿宋"/>
                <w:sz w:val="28"/>
                <w:szCs w:val="28"/>
              </w:rPr>
              <w:t>报价包括产品价、税金、运费、安装调试、检验、保险</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临时保险</w:t>
            </w:r>
            <w:r>
              <w:rPr>
                <w:rFonts w:hint="eastAsia" w:ascii="仿宋" w:hAnsi="仿宋" w:eastAsia="仿宋" w:cs="仿宋"/>
                <w:sz w:val="28"/>
                <w:szCs w:val="28"/>
                <w:lang w:eastAsia="zh-CN"/>
              </w:rPr>
              <w:t>）</w:t>
            </w:r>
            <w:r>
              <w:rPr>
                <w:rFonts w:hint="eastAsia" w:ascii="仿宋" w:hAnsi="仿宋" w:eastAsia="仿宋" w:cs="仿宋"/>
                <w:sz w:val="28"/>
                <w:szCs w:val="28"/>
              </w:rPr>
              <w:t>、验收等全部费用。用户不再支付报价以外的任何费用。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(十六)</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bCs/>
                <w:sz w:val="28"/>
                <w:szCs w:val="28"/>
              </w:rPr>
              <w:t>（十七）</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投标人应当通过“苏采云”系统提交数据电文形式的投标文件（即电子投标）。</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特别说明：通过“苏采云”系统提交政府采购客户端工具导出加密的投标文件（后缀名为zip）。投标文件的大小不得超过苏采云要求！</w:t>
            </w: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r>
              <w:rPr>
                <w:rFonts w:hint="eastAsia" w:ascii="仿宋" w:hAnsi="仿宋" w:eastAsia="仿宋" w:cs="仿宋"/>
                <w:sz w:val="28"/>
                <w:szCs w:val="28"/>
              </w:rPr>
              <w:t> 说明：本项目采用线上投标，即供应商投标文件从政府采购客户端工具制作通过“苏采云”系统提交，未提供线上投标文件的，投标无效。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(十八)4</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见本文件第三章《投标资料表》中(十二)1和(十二)2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(十九)</w:t>
            </w:r>
          </w:p>
        </w:tc>
        <w:tc>
          <w:tcPr>
            <w:tcW w:w="8363" w:type="dxa"/>
          </w:tcPr>
          <w:p>
            <w:pPr>
              <w:pStyle w:val="43"/>
              <w:pageBreakBefore w:val="0"/>
              <w:wordWrap/>
              <w:topLinePunct w:val="0"/>
              <w:autoSpaceDE/>
              <w:autoSpaceDN/>
              <w:bidi w:val="0"/>
              <w:adjustRightInd/>
              <w:snapToGrid/>
              <w:spacing w:line="440" w:lineRule="exact"/>
              <w:jc w:val="left"/>
              <w:textAlignment w:val="auto"/>
              <w:rPr>
                <w:rFonts w:ascii="仿宋" w:hAnsi="仿宋" w:eastAsia="仿宋" w:cs="仿宋"/>
                <w:b/>
                <w:bCs/>
                <w:sz w:val="28"/>
                <w:szCs w:val="28"/>
              </w:rPr>
            </w:pPr>
            <w:r>
              <w:rPr>
                <w:rFonts w:hint="eastAsia" w:ascii="仿宋" w:hAnsi="仿宋" w:eastAsia="仿宋" w:cs="仿宋"/>
                <w:sz w:val="28"/>
                <w:szCs w:val="28"/>
              </w:rPr>
              <w:t>投标文件的提交与接收： </w:t>
            </w:r>
            <w:r>
              <w:rPr>
                <w:rFonts w:hint="eastAsia" w:ascii="仿宋" w:hAnsi="仿宋" w:eastAsia="仿宋" w:cs="仿宋"/>
                <w:sz w:val="28"/>
                <w:szCs w:val="28"/>
              </w:rPr>
              <w:br w:type="textWrapping" w:clear="all"/>
            </w:r>
            <w:r>
              <w:rPr>
                <w:rFonts w:hint="eastAsia" w:ascii="仿宋" w:hAnsi="仿宋" w:eastAsia="仿宋" w:cs="仿宋"/>
                <w:sz w:val="28"/>
                <w:szCs w:val="28"/>
              </w:rPr>
              <w:t>1.投标文件提交与接收时间：</w:t>
            </w:r>
            <w:r>
              <w:rPr>
                <w:rFonts w:hint="eastAsia" w:ascii="仿宋" w:hAnsi="仿宋" w:eastAsia="仿宋" w:cs="仿宋"/>
                <w:b/>
                <w:bCs/>
                <w:sz w:val="28"/>
                <w:szCs w:val="28"/>
              </w:rPr>
              <w:t>提交投标文件截止时间（2025年</w:t>
            </w:r>
            <w:r>
              <w:rPr>
                <w:rFonts w:hint="eastAsia" w:ascii="仿宋" w:hAnsi="仿宋" w:eastAsia="仿宋" w:cs="仿宋"/>
                <w:b/>
                <w:bCs/>
                <w:sz w:val="28"/>
                <w:szCs w:val="28"/>
                <w:lang w:val="en-US" w:eastAsia="zh-CN"/>
              </w:rPr>
              <w:t>12</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19</w:t>
            </w:r>
            <w:r>
              <w:rPr>
                <w:rFonts w:hint="eastAsia" w:ascii="仿宋" w:hAnsi="仿宋" w:eastAsia="仿宋" w:cs="仿宋"/>
                <w:b/>
                <w:bCs/>
                <w:sz w:val="28"/>
                <w:szCs w:val="28"/>
              </w:rPr>
              <w:t>日09：30）前。</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2.投标文件提交与接收地点：投标人应当通过“苏采云”系统提交数据电文形式的投标文件（即电子投标），“苏采云”系统自动接收。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（二十）</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电子投标文件应由其法定代表人或法定代表人授权代表在规定的网上投标时间内，凭 CA 证书登陆“苏采云”系统在线编制投标文件（电子数据），并在投标截止时间之前上传投标文件。</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投标人应在达到开标时间后，使用CA数字证书解密各自投标文件。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四</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(二十五)1</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开标时间及地点：</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b/>
                <w:bCs/>
                <w:sz w:val="28"/>
                <w:szCs w:val="28"/>
              </w:rPr>
              <w:t>开标时间：2025年</w:t>
            </w:r>
            <w:r>
              <w:rPr>
                <w:rFonts w:hint="eastAsia" w:ascii="仿宋" w:hAnsi="仿宋" w:eastAsia="仿宋" w:cs="仿宋"/>
                <w:b/>
                <w:bCs/>
                <w:sz w:val="28"/>
                <w:szCs w:val="28"/>
                <w:lang w:val="en-US" w:eastAsia="zh-CN"/>
              </w:rPr>
              <w:t>12</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19</w:t>
            </w:r>
            <w:r>
              <w:rPr>
                <w:rFonts w:hint="eastAsia" w:ascii="仿宋" w:hAnsi="仿宋" w:eastAsia="仿宋" w:cs="仿宋"/>
                <w:b/>
                <w:bCs/>
                <w:sz w:val="28"/>
                <w:szCs w:val="28"/>
              </w:rPr>
              <w:t>日09：30（标准时间）</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2.开标地点：“苏采云”系统（网址：http://jszfcg.jsczt.cn/</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 xml:space="preserve"> ）“开标大厅”或进入徐州政府采购网（网址：</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cn/Home/HomeIndex）--业务工作--用户登录，点击“苏采云”进入系统“开标大厅”。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(二十五)3</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线上开标时，“苏采云”系统自动提取所有投标文件，投标人按招标文件规定方式按时在线解密。本项目招标文件规定的投标人按时在线解密方式：开标时间后30分钟内，通过“苏采云”系统（使用“CA数字证书”）解密。</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所有投标人解密（或解密时间）结束后，“苏采云”系统生成开标记录并向社会公众公布，但依法应当保密的除外。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五</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(二十七)</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本项目的评标方法：综合评分法。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(二十八)1</w:t>
            </w:r>
          </w:p>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(二十八)1（4）</w:t>
            </w:r>
          </w:p>
        </w:tc>
        <w:tc>
          <w:tcPr>
            <w:tcW w:w="8363" w:type="dxa"/>
          </w:tcPr>
          <w:p>
            <w:pPr>
              <w:pStyle w:val="43"/>
              <w:pageBreakBefore w:val="0"/>
              <w:wordWrap/>
              <w:topLinePunct w:val="0"/>
              <w:autoSpaceDE/>
              <w:autoSpaceDN/>
              <w:bidi w:val="0"/>
              <w:adjustRightInd/>
              <w:snapToGrid/>
              <w:spacing w:line="440" w:lineRule="exact"/>
              <w:ind w:left="560" w:hanging="560"/>
              <w:textAlignment w:val="auto"/>
              <w:rPr>
                <w:rFonts w:ascii="仿宋" w:hAnsi="仿宋" w:eastAsia="仿宋" w:cs="仿宋"/>
                <w:sz w:val="28"/>
                <w:szCs w:val="28"/>
              </w:rPr>
            </w:pPr>
            <w:r>
              <w:rPr>
                <w:rFonts w:hint="eastAsia" w:ascii="仿宋" w:hAnsi="仿宋" w:eastAsia="仿宋" w:cs="仿宋"/>
                <w:sz w:val="28"/>
                <w:szCs w:val="28"/>
              </w:rPr>
              <w:t>一、推荐中标候选供应商名单。中标候选供应商数量应当根据采购需要确定，但必须按顺序排列中标候选供应商。</w:t>
            </w:r>
          </w:p>
          <w:p>
            <w:pPr>
              <w:pStyle w:val="43"/>
              <w:pageBreakBefore w:val="0"/>
              <w:wordWrap/>
              <w:topLinePunct w:val="0"/>
              <w:autoSpaceDE/>
              <w:autoSpaceDN/>
              <w:bidi w:val="0"/>
              <w:adjustRightInd/>
              <w:snapToGrid/>
              <w:spacing w:line="440" w:lineRule="exact"/>
              <w:ind w:left="560" w:hanging="560"/>
              <w:textAlignment w:val="auto"/>
              <w:rPr>
                <w:rFonts w:ascii="仿宋" w:hAnsi="仿宋" w:eastAsia="仿宋" w:cs="仿宋"/>
                <w:sz w:val="28"/>
                <w:szCs w:val="28"/>
              </w:rPr>
            </w:pPr>
            <w:r>
              <w:rPr>
                <w:rFonts w:hint="eastAsia" w:ascii="仿宋" w:hAnsi="仿宋" w:eastAsia="仿宋" w:cs="仿宋"/>
                <w:sz w:val="28"/>
                <w:szCs w:val="28"/>
              </w:rPr>
              <w:t>二、采用综合评分法的，按评审后得分由高到低顺序排列。得分相同的，按投标报价由低到高顺序排列。得分且投标报价相同的，按技术指标优劣得分顺序排列。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（二十九）</w:t>
            </w:r>
          </w:p>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（4）</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1.评标中需要投标人对投标文件澄清或者说明的，应当通过“苏采云”系统交换数据电文。在评标期间，请投标人保持在线。</w:t>
            </w: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2.对于投标文件中含义不明确、同类问题表述不一致或者有明显文字和计算错误的内容，评标委员会通过“苏采云”系统要求投标人作出必要的澄清、说明或者补正，并规定回复时间。</w:t>
            </w: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color w:val="000000"/>
                <w:sz w:val="28"/>
                <w:szCs w:val="28"/>
              </w:rPr>
              <w:t>特别说明：“苏采云”系统通过“江苏省政府采购一体化不见面开标大厅”提醒投标人。投标人自行查看，投标人因自身原因不及时查看导致没收到信息，“苏采云”系统不承担任何责任。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（三十）</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评标委员会启动异常低价投标审查的情形和具体要求，包括:</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1.评审过程中出现下列情形之一的，评标委员会应当启动异常低价投标审查程序：</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（1）投标报价低于采购项目预算50%的，即投标报价&lt;采购项目预算×50%；</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（2）投标报价低于采购项目最高限价45%的，即投标报价&lt;采购项目最高限价×45%；</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（3）评标委员会认定的投标人报价过低、有可能影响产品质量或者不能诚信履约的其他情形。</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2.启动异常低价投标审查后，评标委员会应当通过“苏采云”系统要求相关投标人在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标委员会应当将其作为无效投标处理。审查相关情况应当在评标报告中进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七</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(三十七)1</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color w:val="auto"/>
                <w:sz w:val="28"/>
                <w:szCs w:val="28"/>
              </w:rPr>
            </w:pPr>
            <w:r>
              <w:rPr>
                <w:rFonts w:hint="eastAsia" w:ascii="仿宋" w:hAnsi="仿宋" w:eastAsia="仿宋" w:cs="仿宋"/>
                <w:color w:val="auto"/>
                <w:sz w:val="28"/>
                <w:szCs w:val="28"/>
              </w:rPr>
              <w:t>采购人与中标、成交供应商应当在中标、成交通知书发出之日起30日内，按照采购文件确定的事项签订政府采购合同。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（三十八）</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color w:val="auto"/>
                <w:sz w:val="28"/>
                <w:szCs w:val="28"/>
              </w:rPr>
            </w:pPr>
            <w:r>
              <w:rPr>
                <w:rFonts w:hint="eastAsia" w:ascii="仿宋" w:hAnsi="仿宋" w:eastAsia="仿宋" w:cs="仿宋"/>
                <w:color w:val="auto"/>
                <w:sz w:val="28"/>
                <w:szCs w:val="28"/>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(四十一)</w:t>
            </w:r>
          </w:p>
        </w:tc>
        <w:tc>
          <w:tcPr>
            <w:tcW w:w="8363"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color w:val="auto"/>
                <w:sz w:val="28"/>
                <w:szCs w:val="28"/>
              </w:rPr>
            </w:pPr>
            <w:r>
              <w:rPr>
                <w:rFonts w:hint="eastAsia" w:ascii="仿宋" w:hAnsi="仿宋" w:eastAsia="仿宋" w:cs="仿宋"/>
                <w:color w:val="auto"/>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pStyle w:val="38"/>
              <w:pageBreakBefore w:val="0"/>
              <w:wordWrap/>
              <w:topLinePunct w:val="0"/>
              <w:autoSpaceDE/>
              <w:autoSpaceDN/>
              <w:bidi w:val="0"/>
              <w:adjustRightInd/>
              <w:snapToGrid/>
              <w:spacing w:line="440" w:lineRule="exact"/>
              <w:textAlignment w:val="auto"/>
              <w:rPr>
                <w:rFonts w:ascii="仿宋" w:hAnsi="仿宋" w:eastAsia="仿宋" w:cs="仿宋"/>
                <w:color w:val="auto"/>
                <w:sz w:val="28"/>
                <w:szCs w:val="28"/>
              </w:rPr>
            </w:pPr>
            <w:r>
              <w:rPr>
                <w:rFonts w:hint="eastAsia" w:ascii="仿宋" w:hAnsi="仿宋" w:eastAsia="仿宋" w:cs="仿宋"/>
                <w:color w:val="auto"/>
                <w:sz w:val="28"/>
                <w:szCs w:val="28"/>
              </w:rPr>
              <w:t>供应商在法定质疑期内一次性提出针对同一采购程序环节的质疑。</w:t>
            </w: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auto"/>
                <w:sz w:val="28"/>
                <w:szCs w:val="28"/>
              </w:rPr>
            </w:pPr>
            <w:r>
              <w:rPr>
                <w:rFonts w:hint="eastAsia" w:ascii="仿宋" w:hAnsi="仿宋" w:eastAsia="仿宋" w:cs="仿宋"/>
                <w:color w:val="auto"/>
                <w:sz w:val="28"/>
                <w:szCs w:val="28"/>
              </w:rPr>
              <w:t>质疑接收人：</w:t>
            </w:r>
            <w:bookmarkStart w:id="17" w:name="OLE_LINK5"/>
            <w:r>
              <w:rPr>
                <w:rFonts w:hint="eastAsia" w:ascii="仿宋" w:hAnsi="仿宋" w:eastAsia="仿宋" w:cs="仿宋"/>
                <w:color w:val="auto"/>
                <w:sz w:val="28"/>
                <w:szCs w:val="28"/>
              </w:rPr>
              <w:t>刘宇</w:t>
            </w:r>
            <w:bookmarkEnd w:id="17"/>
            <w:r>
              <w:rPr>
                <w:rFonts w:hint="eastAsia" w:ascii="仿宋" w:hAnsi="仿宋" w:eastAsia="仿宋" w:cs="仿宋"/>
                <w:color w:val="auto"/>
                <w:sz w:val="28"/>
                <w:szCs w:val="28"/>
              </w:rPr>
              <w:t>；联系电话：</w:t>
            </w:r>
            <w:r>
              <w:rPr>
                <w:rFonts w:hint="eastAsia" w:ascii="仿宋" w:hAnsi="仿宋" w:eastAsia="仿宋" w:cs="仿宋"/>
                <w:sz w:val="28"/>
                <w:szCs w:val="28"/>
                <w:lang w:val="en-US" w:eastAsia="zh-CN"/>
              </w:rPr>
              <w:t>15365881007</w:t>
            </w:r>
            <w:r>
              <w:rPr>
                <w:rFonts w:hint="eastAsia" w:ascii="仿宋" w:hAnsi="仿宋" w:eastAsia="仿宋" w:cs="仿宋"/>
                <w:color w:val="auto"/>
                <w:sz w:val="28"/>
                <w:szCs w:val="28"/>
              </w:rPr>
              <w:t>；</w:t>
            </w: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auto"/>
                <w:sz w:val="28"/>
                <w:szCs w:val="28"/>
              </w:rPr>
            </w:pPr>
            <w:r>
              <w:rPr>
                <w:rFonts w:hint="eastAsia" w:ascii="仿宋" w:hAnsi="仿宋" w:eastAsia="仿宋" w:cs="仿宋"/>
                <w:color w:val="auto"/>
                <w:sz w:val="28"/>
                <w:szCs w:val="28"/>
              </w:rPr>
              <w:t>办公地址：徐州市云龙区绿地商务城领海写字楼3号楼6楼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02" w:type="dxa"/>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bCs/>
                <w:sz w:val="28"/>
                <w:szCs w:val="28"/>
              </w:rPr>
              <w:t>附加说明</w:t>
            </w:r>
          </w:p>
        </w:tc>
        <w:tc>
          <w:tcPr>
            <w:tcW w:w="8363" w:type="dxa"/>
          </w:tcPr>
          <w:p>
            <w:pPr>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中标人在收到中标通知书时，须向采购代理机构提交投标文件的纸质版3份，纸质版的内容和苏采云上的电子投标文件内容一致。</w:t>
            </w:r>
          </w:p>
        </w:tc>
      </w:tr>
    </w:tbl>
    <w:p>
      <w:pPr>
        <w:pStyle w:val="43"/>
        <w:pageBreakBefore w:val="0"/>
        <w:widowControl/>
        <w:wordWrap/>
        <w:topLinePunct w:val="0"/>
        <w:autoSpaceDE/>
        <w:autoSpaceDN/>
        <w:bidi w:val="0"/>
        <w:adjustRightInd/>
        <w:snapToGrid/>
        <w:spacing w:line="440" w:lineRule="exact"/>
        <w:ind w:firstLine="600"/>
        <w:textAlignment w:val="auto"/>
        <w:rPr>
          <w:rFonts w:ascii="仿宋" w:hAnsi="仿宋" w:eastAsia="仿宋" w:cs="仿宋"/>
          <w:sz w:val="30"/>
          <w:szCs w:val="30"/>
        </w:rPr>
      </w:pPr>
      <w:bookmarkStart w:id="18" w:name="_Toc522790133"/>
    </w:p>
    <w:p>
      <w:pPr>
        <w:pageBreakBefore w:val="0"/>
        <w:widowControl/>
        <w:wordWrap/>
        <w:topLinePunct w:val="0"/>
        <w:autoSpaceDE/>
        <w:autoSpaceDN/>
        <w:bidi w:val="0"/>
        <w:adjustRightInd/>
        <w:snapToGrid/>
        <w:spacing w:line="440" w:lineRule="exact"/>
        <w:ind w:firstLine="600"/>
        <w:textAlignment w:val="auto"/>
        <w:rPr>
          <w:rFonts w:ascii="仿宋" w:hAnsi="仿宋" w:eastAsia="仿宋" w:cs="仿宋"/>
          <w:b/>
          <w:color w:val="000000"/>
          <w:sz w:val="30"/>
          <w:szCs w:val="30"/>
        </w:rPr>
      </w:pPr>
      <w:r>
        <w:rPr>
          <w:rFonts w:hint="eastAsia" w:ascii="仿宋" w:hAnsi="仿宋" w:eastAsia="仿宋" w:cs="仿宋"/>
          <w:sz w:val="30"/>
          <w:szCs w:val="30"/>
        </w:rPr>
        <w:br w:type="page" w:clear="all"/>
      </w:r>
      <w:bookmarkStart w:id="19" w:name="_Toc523404698"/>
      <w:r>
        <w:rPr>
          <w:rFonts w:hint="eastAsia" w:ascii="仿宋" w:hAnsi="仿宋" w:eastAsia="仿宋" w:cs="仿宋"/>
          <w:color w:val="000000"/>
          <w:sz w:val="30"/>
          <w:szCs w:val="30"/>
        </w:rPr>
        <w:t>本章附件：</w:t>
      </w:r>
      <w:r>
        <w:rPr>
          <w:rFonts w:hint="eastAsia" w:ascii="仿宋" w:hAnsi="仿宋" w:eastAsia="仿宋" w:cs="仿宋"/>
          <w:b/>
          <w:color w:val="000000"/>
          <w:sz w:val="30"/>
          <w:szCs w:val="30"/>
        </w:rPr>
        <w:t>招标代理服务收费标准</w:t>
      </w:r>
    </w:p>
    <w:tbl>
      <w:tblPr>
        <w:tblStyle w:val="34"/>
        <w:tblW w:w="9354" w:type="dxa"/>
        <w:tblInd w:w="-324"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
      <w:tblGrid>
        <w:gridCol w:w="5758"/>
        <w:gridCol w:w="3596"/>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90"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中标或者成交金额</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费率</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90"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最低收费金额(每个委托项目)</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5000元</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90"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50万元以下(含50万元)</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1.6%</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90"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50-400万元(含400万元)</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1.5%</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90"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400-1000万元(含1000万元)</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1.1%</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90"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1000-5000万元(含5000万元)</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90"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5000-1亿元(含1亿元)</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0.25%</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90"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1-10亿元(含10亿元)</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0.05%</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47"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10-50亿元(含50亿元)</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0.01%</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fixed"/>
          <w:tblCellMar>
            <w:top w:w="0" w:type="dxa"/>
            <w:left w:w="108" w:type="dxa"/>
            <w:bottom w:w="0" w:type="dxa"/>
            <w:right w:w="108" w:type="dxa"/>
          </w:tblCellMar>
        </w:tblPrEx>
        <w:trPr>
          <w:trHeight w:val="547" w:hRule="atLeast"/>
        </w:trPr>
        <w:tc>
          <w:tcPr>
            <w:tcW w:w="5758"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50亿元以上</w:t>
            </w:r>
          </w:p>
        </w:tc>
        <w:tc>
          <w:tcPr>
            <w:tcW w:w="3596" w:type="dxa"/>
            <w:tcMar>
              <w:top w:w="0" w:type="dxa"/>
              <w:left w:w="108" w:type="dxa"/>
              <w:bottom w:w="0" w:type="dxa"/>
              <w:right w:w="108" w:type="dxa"/>
            </w:tcMar>
            <w:vAlign w:val="center"/>
          </w:tcPr>
          <w:p>
            <w:pPr>
              <w:pageBreakBefore w:val="0"/>
              <w:pBdr>
                <w:top w:val="none" w:color="000000" w:sz="0" w:space="0"/>
                <w:left w:val="none" w:color="000000" w:sz="0" w:space="0"/>
                <w:bottom w:val="none" w:color="000000" w:sz="0" w:space="0"/>
                <w:right w:val="none" w:color="000000" w:sz="0" w:space="0"/>
              </w:pBdr>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0.005%</w:t>
            </w:r>
          </w:p>
        </w:tc>
      </w:tr>
    </w:tbl>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说明：</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1.按上表计算的收费为代理服务全过程的收费金额。各社会代理机构不再收取采购文件制作售卖费用。</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2.代理服务费按差额定率累进法计算。</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3.代理服务费基准金额（按差额定率累进法计算的）=中标金额（按差额定率累进法计算的） * 费率（%）</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4.代理服务费应收取金额=代理服务费基准金额（按差额定率累进法计算的）的合计数。</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5.定点类等无金额或事先不能计算出价格总额的项目，按中标（成交）金额100万元计算服务费。</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6.有分包（分标段）项目按总项目中标（成交）金额收费。</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7.以上价格为协会指导价，双方可根据项目难易程度和优质优价原则协商确定。</w:t>
      </w:r>
    </w:p>
    <w:p>
      <w:pPr>
        <w:pStyle w:val="43"/>
        <w:pageBreakBefore w:val="0"/>
        <w:wordWrap/>
        <w:topLinePunct w:val="0"/>
        <w:autoSpaceDE/>
        <w:autoSpaceDN/>
        <w:bidi w:val="0"/>
        <w:adjustRightInd/>
        <w:snapToGrid/>
        <w:spacing w:line="440" w:lineRule="exact"/>
        <w:ind w:firstLine="630"/>
        <w:textAlignment w:val="auto"/>
        <w:rPr>
          <w:rFonts w:ascii="仿宋" w:hAnsi="仿宋" w:eastAsia="仿宋" w:cs="仿宋"/>
          <w:sz w:val="30"/>
          <w:szCs w:val="30"/>
        </w:rPr>
      </w:pPr>
    </w:p>
    <w:p>
      <w:pPr>
        <w:pStyle w:val="43"/>
        <w:pageBreakBefore w:val="0"/>
        <w:widowControl/>
        <w:numPr>
          <w:ilvl w:val="0"/>
          <w:numId w:val="1"/>
        </w:numPr>
        <w:wordWrap/>
        <w:topLinePunct w:val="0"/>
        <w:autoSpaceDE/>
        <w:autoSpaceDN/>
        <w:bidi w:val="0"/>
        <w:adjustRightInd/>
        <w:snapToGrid/>
        <w:spacing w:line="440" w:lineRule="exact"/>
        <w:ind w:firstLine="420"/>
        <w:jc w:val="center"/>
        <w:textAlignment w:val="auto"/>
        <w:rPr>
          <w:rFonts w:ascii="仿宋" w:hAnsi="仿宋" w:eastAsia="仿宋" w:cs="仿宋"/>
          <w:b/>
          <w:bCs/>
          <w:sz w:val="30"/>
          <w:szCs w:val="44"/>
        </w:rPr>
      </w:pPr>
      <w:r>
        <w:rPr>
          <w:rFonts w:hint="eastAsia" w:ascii="仿宋" w:hAnsi="仿宋" w:eastAsia="仿宋" w:cs="仿宋"/>
        </w:rPr>
        <w:br w:type="page" w:clear="all"/>
      </w:r>
      <w:r>
        <w:rPr>
          <w:rFonts w:hint="eastAsia" w:ascii="仿宋" w:hAnsi="仿宋" w:eastAsia="仿宋" w:cs="仿宋"/>
          <w:b/>
          <w:bCs/>
          <w:sz w:val="30"/>
          <w:szCs w:val="44"/>
        </w:rPr>
        <w:t xml:space="preserve"> 评标标准</w:t>
      </w:r>
      <w:bookmarkEnd w:id="18"/>
      <w:bookmarkEnd w:id="19"/>
    </w:p>
    <w:tbl>
      <w:tblPr>
        <w:tblStyle w:val="34"/>
        <w:tblW w:w="103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7"/>
        <w:gridCol w:w="1459"/>
        <w:gridCol w:w="7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1377"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bookmarkStart w:id="20" w:name="_Toc15691"/>
            <w:bookmarkStart w:id="21" w:name="_Toc522790135"/>
            <w:bookmarkStart w:id="22" w:name="_Toc523404700"/>
            <w:r>
              <w:rPr>
                <w:rFonts w:hint="eastAsia" w:ascii="仿宋" w:hAnsi="仿宋" w:eastAsia="仿宋" w:cs="仿宋"/>
                <w:sz w:val="24"/>
                <w:szCs w:val="24"/>
              </w:rPr>
              <w:t>项  目</w:t>
            </w:r>
          </w:p>
        </w:tc>
        <w:tc>
          <w:tcPr>
            <w:tcW w:w="1459"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子  目</w:t>
            </w:r>
          </w:p>
        </w:tc>
        <w:tc>
          <w:tcPr>
            <w:tcW w:w="7544"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评分办法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6" w:hRule="atLeast"/>
          <w:jc w:val="center"/>
        </w:trPr>
        <w:tc>
          <w:tcPr>
            <w:tcW w:w="1377"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价格部分（30分）</w:t>
            </w:r>
          </w:p>
        </w:tc>
        <w:tc>
          <w:tcPr>
            <w:tcW w:w="1459" w:type="dxa"/>
            <w:shd w:val="clear" w:color="auto" w:fill="auto"/>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4"/>
                <w:szCs w:val="24"/>
              </w:rPr>
            </w:pPr>
            <w:r>
              <w:rPr>
                <w:rFonts w:hint="eastAsia" w:ascii="仿宋" w:hAnsi="仿宋" w:eastAsia="仿宋" w:cs="仿宋"/>
                <w:sz w:val="24"/>
                <w:szCs w:val="24"/>
              </w:rPr>
              <w:t>价格</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（30分）</w:t>
            </w:r>
          </w:p>
        </w:tc>
        <w:tc>
          <w:tcPr>
            <w:tcW w:w="7544" w:type="dxa"/>
            <w:shd w:val="clear" w:color="auto" w:fill="auto"/>
            <w:vAlign w:val="center"/>
          </w:tcPr>
          <w:p>
            <w:pPr>
              <w:pStyle w:val="43"/>
              <w:keepNext w:val="0"/>
              <w:keepLines w:val="0"/>
              <w:pageBreakBefore w:val="0"/>
              <w:kinsoku/>
              <w:wordWrap/>
              <w:overflowPunct/>
              <w:topLinePunct w:val="0"/>
              <w:autoSpaceDE/>
              <w:autoSpaceDN/>
              <w:bidi w:val="0"/>
              <w:adjustRightInd/>
              <w:snapToGrid/>
              <w:spacing w:line="380" w:lineRule="exact"/>
              <w:textAlignment w:val="auto"/>
              <w:outlineLvl w:val="9"/>
              <w:rPr>
                <w:rFonts w:ascii="仿宋" w:hAnsi="仿宋" w:eastAsia="仿宋" w:cs="仿宋"/>
                <w:sz w:val="24"/>
                <w:szCs w:val="24"/>
              </w:rPr>
            </w:pPr>
            <w:r>
              <w:rPr>
                <w:rFonts w:hint="eastAsia" w:ascii="仿宋" w:hAnsi="仿宋" w:eastAsia="仿宋" w:cs="仿宋"/>
                <w:sz w:val="24"/>
                <w:szCs w:val="24"/>
              </w:rPr>
              <w:t>采用低价优先法计算，即满足招标文件要求且投标价格最低的投标报价为评标基准价，其价格分为满分30分。其他供应商的价格分统一按照下列公式计算：</w:t>
            </w:r>
          </w:p>
          <w:p>
            <w:pPr>
              <w:pStyle w:val="43"/>
              <w:keepNext w:val="0"/>
              <w:keepLines w:val="0"/>
              <w:pageBreakBefore w:val="0"/>
              <w:kinsoku/>
              <w:wordWrap/>
              <w:overflowPunct/>
              <w:topLinePunct w:val="0"/>
              <w:autoSpaceDE/>
              <w:autoSpaceDN/>
              <w:bidi w:val="0"/>
              <w:adjustRightInd/>
              <w:snapToGrid/>
              <w:spacing w:line="380" w:lineRule="exact"/>
              <w:textAlignment w:val="auto"/>
              <w:outlineLvl w:val="9"/>
              <w:rPr>
                <w:rFonts w:ascii="仿宋" w:hAnsi="仿宋" w:eastAsia="仿宋" w:cs="仿宋"/>
                <w:sz w:val="24"/>
                <w:szCs w:val="24"/>
              </w:rPr>
            </w:pPr>
            <w:r>
              <w:rPr>
                <w:rFonts w:hint="eastAsia" w:ascii="仿宋" w:hAnsi="仿宋" w:eastAsia="仿宋" w:cs="仿宋"/>
                <w:sz w:val="24"/>
                <w:szCs w:val="24"/>
              </w:rPr>
              <w:t>投标报价得分=（评标基准价/投标报价）×</w:t>
            </w:r>
            <w:r>
              <w:rPr>
                <w:rFonts w:hint="eastAsia" w:ascii="仿宋" w:hAnsi="仿宋" w:eastAsia="仿宋" w:cs="仿宋"/>
                <w:sz w:val="24"/>
                <w:szCs w:val="24"/>
                <w:lang w:val="en-US" w:eastAsia="zh-CN"/>
              </w:rPr>
              <w:t>30</w:t>
            </w:r>
            <w:r>
              <w:rPr>
                <w:rFonts w:hint="eastAsia" w:ascii="仿宋" w:hAnsi="仿宋" w:eastAsia="仿宋" w:cs="仿宋"/>
                <w:sz w:val="24"/>
                <w:szCs w:val="24"/>
              </w:rPr>
              <w:t>（分值计算结果保留两位小数）</w:t>
            </w:r>
          </w:p>
          <w:p>
            <w:pPr>
              <w:pStyle w:val="43"/>
              <w:keepNext w:val="0"/>
              <w:keepLines w:val="0"/>
              <w:pageBreakBefore w:val="0"/>
              <w:kinsoku/>
              <w:wordWrap/>
              <w:overflowPunct/>
              <w:topLinePunct w:val="0"/>
              <w:autoSpaceDE/>
              <w:autoSpaceDN/>
              <w:bidi w:val="0"/>
              <w:adjustRightInd/>
              <w:snapToGrid/>
              <w:spacing w:line="380" w:lineRule="exact"/>
              <w:textAlignment w:val="auto"/>
              <w:outlineLvl w:val="9"/>
              <w:rPr>
                <w:rFonts w:ascii="仿宋" w:hAnsi="仿宋" w:eastAsia="仿宋" w:cs="仿宋"/>
                <w:sz w:val="24"/>
                <w:szCs w:val="24"/>
              </w:rPr>
            </w:pPr>
            <w:r>
              <w:rPr>
                <w:rFonts w:hint="eastAsia" w:ascii="仿宋" w:hAnsi="仿宋" w:eastAsia="仿宋" w:cs="仿宋"/>
                <w:sz w:val="24"/>
                <w:szCs w:val="24"/>
              </w:rPr>
              <w:t>投标人为“小型、微型、监狱企业、享受政府采购支持政策的残疾人福利性单位的（以投标人投标文件中提供的相关材料为准），且在《开标一览表》中注明“投标人承诺：本项目由投标人本企业提供的服务”的，投标人评审价格=《开标一览表》中的“总价” *（1-10%）得分四舍五入保留小数点后2位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7" w:hRule="atLeast"/>
          <w:jc w:val="center"/>
        </w:trPr>
        <w:tc>
          <w:tcPr>
            <w:tcW w:w="1377" w:type="dxa"/>
            <w:vMerge w:val="restart"/>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商务部分</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（40分）</w:t>
            </w:r>
          </w:p>
        </w:tc>
        <w:tc>
          <w:tcPr>
            <w:tcW w:w="1459"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类似业绩</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（4分）</w:t>
            </w:r>
          </w:p>
        </w:tc>
        <w:tc>
          <w:tcPr>
            <w:tcW w:w="7544" w:type="dxa"/>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lang w:val="en-US" w:eastAsia="zh-CN"/>
              </w:rPr>
              <w:t>提供投标人或制造商自2022年09月01日以来本项目类似业绩，每个得2分，最多得4分</w:t>
            </w:r>
            <w:r>
              <w:rPr>
                <w:rFonts w:hint="eastAsia" w:ascii="仿宋" w:hAnsi="仿宋" w:eastAsia="仿宋" w:cs="仿宋"/>
                <w:sz w:val="24"/>
                <w:szCs w:val="24"/>
              </w:rPr>
              <w:t>（合同复印件加盖公章为准），每提供一份得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分。最高得4分。</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b/>
                <w:bCs/>
                <w:sz w:val="24"/>
                <w:szCs w:val="24"/>
                <w:lang w:val="en-US" w:eastAsia="zh-CN"/>
              </w:rPr>
              <w:t>以上业绩须在投标文件中提供中标通知书或合同原件扫描件并加盖公章</w:t>
            </w:r>
            <w:r>
              <w:rPr>
                <w:rFonts w:hint="eastAsia" w:ascii="仿宋" w:hAnsi="仿宋" w:eastAsia="仿宋" w:cs="仿宋"/>
                <w:b/>
                <w:bCs/>
                <w:sz w:val="24"/>
                <w:szCs w:val="24"/>
              </w:rPr>
              <w:t>。</w:t>
            </w:r>
            <w:r>
              <w:rPr>
                <w:rFonts w:hint="eastAsia" w:ascii="仿宋" w:hAnsi="仿宋" w:eastAsia="仿宋" w:cs="仿宋"/>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37" w:hRule="atLeast"/>
          <w:jc w:val="center"/>
        </w:trPr>
        <w:tc>
          <w:tcPr>
            <w:tcW w:w="1377" w:type="dxa"/>
            <w:vMerge w:val="continue"/>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tc>
        <w:tc>
          <w:tcPr>
            <w:tcW w:w="1459"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ascii="仿宋" w:hAnsi="仿宋" w:eastAsia="仿宋" w:cs="仿宋"/>
                <w:sz w:val="24"/>
                <w:szCs w:val="24"/>
              </w:rPr>
              <w:t>体系认证</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ascii="仿宋" w:hAnsi="仿宋" w:eastAsia="仿宋" w:cs="仿宋"/>
                <w:sz w:val="24"/>
                <w:szCs w:val="24"/>
              </w:rPr>
              <w:t>（</w:t>
            </w:r>
            <w:r>
              <w:rPr>
                <w:rFonts w:hint="eastAsia" w:ascii="仿宋" w:hAnsi="仿宋" w:eastAsia="仿宋" w:cs="仿宋"/>
                <w:sz w:val="24"/>
                <w:szCs w:val="24"/>
              </w:rPr>
              <w:t>4</w:t>
            </w:r>
            <w:r>
              <w:rPr>
                <w:rFonts w:ascii="仿宋" w:hAnsi="仿宋" w:eastAsia="仿宋" w:cs="仿宋"/>
                <w:sz w:val="24"/>
                <w:szCs w:val="24"/>
              </w:rPr>
              <w:t>分）</w:t>
            </w:r>
          </w:p>
        </w:tc>
        <w:tc>
          <w:tcPr>
            <w:tcW w:w="7544" w:type="dxa"/>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ascii="仿宋" w:hAnsi="仿宋" w:eastAsia="仿宋" w:cs="仿宋"/>
                <w:sz w:val="24"/>
                <w:szCs w:val="24"/>
              </w:rPr>
              <w:t>投标人具有有效期内的质量管理体系认证、环境管理体系认证、职业健康安全管理体系认证及</w:t>
            </w:r>
            <w:r>
              <w:rPr>
                <w:rFonts w:hint="eastAsia" w:ascii="仿宋" w:hAnsi="仿宋" w:eastAsia="仿宋" w:cs="仿宋"/>
                <w:sz w:val="24"/>
                <w:szCs w:val="24"/>
              </w:rPr>
              <w:t>能源管理体系认证证书</w:t>
            </w:r>
            <w:r>
              <w:rPr>
                <w:rFonts w:ascii="仿宋" w:hAnsi="仿宋" w:eastAsia="仿宋" w:cs="仿宋"/>
                <w:sz w:val="24"/>
                <w:szCs w:val="24"/>
              </w:rPr>
              <w:t>的，每提供1个得1分，最高得4分。</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ascii="仿宋" w:hAnsi="仿宋" w:eastAsia="仿宋" w:cs="仿宋"/>
                <w:sz w:val="24"/>
                <w:szCs w:val="24"/>
              </w:rPr>
              <w:t>投标文件中提供认证证书原件扫描件并加盖电子签章，未提供或提供不全不得分。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19" w:hRule="atLeast"/>
          <w:jc w:val="center"/>
        </w:trPr>
        <w:tc>
          <w:tcPr>
            <w:tcW w:w="1377" w:type="dxa"/>
            <w:vMerge w:val="continue"/>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tc>
        <w:tc>
          <w:tcPr>
            <w:tcW w:w="1459"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其他认证证书（5分）</w:t>
            </w:r>
          </w:p>
        </w:tc>
        <w:tc>
          <w:tcPr>
            <w:tcW w:w="7544" w:type="dxa"/>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1.投标人获得</w:t>
            </w:r>
            <w:bookmarkStart w:id="23" w:name="OLE_LINK12"/>
            <w:r>
              <w:rPr>
                <w:rFonts w:hint="eastAsia" w:ascii="仿宋" w:hAnsi="仿宋" w:eastAsia="仿宋" w:cs="仿宋"/>
                <w:sz w:val="24"/>
                <w:szCs w:val="24"/>
              </w:rPr>
              <w:t>CTEAS</w:t>
            </w:r>
            <w:r>
              <w:rPr>
                <w:rFonts w:hint="eastAsia" w:ascii="仿宋" w:hAnsi="仿宋" w:eastAsia="仿宋" w:cs="仿宋"/>
                <w:sz w:val="24"/>
                <w:szCs w:val="24"/>
                <w:highlight w:val="none"/>
              </w:rPr>
              <w:t>七星级售后服务评价体系认</w:t>
            </w:r>
            <w:r>
              <w:rPr>
                <w:rFonts w:hint="eastAsia" w:ascii="仿宋" w:hAnsi="仿宋" w:eastAsia="仿宋" w:cs="仿宋"/>
                <w:sz w:val="24"/>
                <w:szCs w:val="24"/>
              </w:rPr>
              <w:t>证</w:t>
            </w:r>
            <w:bookmarkEnd w:id="23"/>
            <w:r>
              <w:rPr>
                <w:rFonts w:hint="eastAsia" w:ascii="仿宋" w:hAnsi="仿宋" w:eastAsia="仿宋" w:cs="仿宋"/>
                <w:sz w:val="24"/>
                <w:szCs w:val="24"/>
              </w:rPr>
              <w:t>的得3分；</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2.获得</w:t>
            </w:r>
            <w:bookmarkStart w:id="24" w:name="OLE_LINK15"/>
            <w:r>
              <w:rPr>
                <w:rFonts w:hint="eastAsia" w:ascii="仿宋" w:hAnsi="仿宋" w:eastAsia="仿宋" w:cs="仿宋"/>
                <w:sz w:val="24"/>
                <w:szCs w:val="24"/>
              </w:rPr>
              <w:t>GB/T27922-201</w:t>
            </w:r>
            <w:r>
              <w:rPr>
                <w:rFonts w:hint="eastAsia" w:ascii="仿宋" w:hAnsi="仿宋" w:eastAsia="仿宋" w:cs="仿宋"/>
                <w:sz w:val="24"/>
                <w:szCs w:val="24"/>
                <w:highlight w:val="none"/>
              </w:rPr>
              <w:t>1五星级售后服务评价体系</w:t>
            </w:r>
            <w:r>
              <w:rPr>
                <w:rFonts w:hint="eastAsia" w:ascii="仿宋" w:hAnsi="仿宋" w:eastAsia="仿宋" w:cs="仿宋"/>
                <w:sz w:val="24"/>
                <w:szCs w:val="24"/>
              </w:rPr>
              <w:t>认证</w:t>
            </w:r>
            <w:bookmarkEnd w:id="24"/>
            <w:r>
              <w:rPr>
                <w:rFonts w:hint="eastAsia" w:ascii="仿宋" w:hAnsi="仿宋" w:eastAsia="仿宋" w:cs="仿宋"/>
                <w:sz w:val="24"/>
                <w:szCs w:val="24"/>
              </w:rPr>
              <w:t>的得2分，没有不得分。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54" w:hRule="atLeast"/>
          <w:jc w:val="center"/>
        </w:trPr>
        <w:tc>
          <w:tcPr>
            <w:tcW w:w="1377" w:type="dxa"/>
            <w:vMerge w:val="continue"/>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tc>
        <w:tc>
          <w:tcPr>
            <w:tcW w:w="1459" w:type="dxa"/>
            <w:shd w:val="clear" w:color="auto" w:fill="auto"/>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4"/>
                <w:szCs w:val="24"/>
              </w:rPr>
            </w:pPr>
            <w:r>
              <w:rPr>
                <w:rFonts w:hint="eastAsia" w:ascii="仿宋" w:hAnsi="仿宋" w:eastAsia="仿宋" w:cs="仿宋"/>
                <w:sz w:val="24"/>
                <w:szCs w:val="24"/>
              </w:rPr>
              <w:t>技术参数响应（27分）</w:t>
            </w:r>
          </w:p>
        </w:tc>
        <w:tc>
          <w:tcPr>
            <w:tcW w:w="7544" w:type="dxa"/>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依据</w:t>
            </w:r>
            <w:r>
              <w:rPr>
                <w:rFonts w:ascii="仿宋" w:hAnsi="仿宋" w:eastAsia="仿宋" w:cs="仿宋"/>
                <w:sz w:val="24"/>
                <w:szCs w:val="24"/>
              </w:rPr>
              <w:t>磋商</w:t>
            </w:r>
            <w:r>
              <w:rPr>
                <w:rFonts w:hint="eastAsia" w:ascii="仿宋" w:hAnsi="仿宋" w:eastAsia="仿宋" w:cs="仿宋"/>
                <w:sz w:val="24"/>
                <w:szCs w:val="24"/>
              </w:rPr>
              <w:t>文件中偏离表、技术规格说明对</w:t>
            </w:r>
            <w:r>
              <w:rPr>
                <w:rFonts w:ascii="仿宋" w:hAnsi="仿宋" w:eastAsia="仿宋" w:cs="仿宋"/>
                <w:sz w:val="24"/>
                <w:szCs w:val="24"/>
              </w:rPr>
              <w:t>采购</w:t>
            </w:r>
            <w:r>
              <w:rPr>
                <w:rFonts w:hint="eastAsia" w:ascii="仿宋" w:hAnsi="仿宋" w:eastAsia="仿宋" w:cs="仿宋"/>
                <w:sz w:val="24"/>
                <w:szCs w:val="24"/>
              </w:rPr>
              <w:t>文件《第</w:t>
            </w:r>
            <w:r>
              <w:rPr>
                <w:rFonts w:ascii="仿宋" w:hAnsi="仿宋" w:eastAsia="仿宋" w:cs="仿宋"/>
                <w:sz w:val="24"/>
                <w:szCs w:val="24"/>
              </w:rPr>
              <w:t>七</w:t>
            </w:r>
            <w:r>
              <w:rPr>
                <w:rFonts w:hint="eastAsia" w:ascii="仿宋" w:hAnsi="仿宋" w:eastAsia="仿宋" w:cs="仿宋"/>
                <w:sz w:val="24"/>
                <w:szCs w:val="24"/>
              </w:rPr>
              <w:t>章 采购需求》“技术参数</w:t>
            </w:r>
            <w:r>
              <w:rPr>
                <w:rFonts w:ascii="仿宋" w:hAnsi="仿宋" w:eastAsia="仿宋" w:cs="仿宋"/>
                <w:sz w:val="24"/>
                <w:szCs w:val="24"/>
              </w:rPr>
              <w:t>、</w:t>
            </w:r>
            <w:r>
              <w:rPr>
                <w:rFonts w:hint="eastAsia" w:ascii="仿宋" w:hAnsi="仿宋" w:eastAsia="仿宋" w:cs="仿宋"/>
                <w:sz w:val="24"/>
                <w:szCs w:val="24"/>
              </w:rPr>
              <w:t>产品主要性能要求”满足程度进行评价。全部满足要求的得27分，重要响应指标不满足或负偏离每</w:t>
            </w:r>
            <w:r>
              <w:rPr>
                <w:rFonts w:hint="eastAsia" w:ascii="仿宋" w:hAnsi="仿宋" w:eastAsia="仿宋" w:cs="仿宋"/>
                <w:color w:val="auto"/>
                <w:sz w:val="24"/>
                <w:szCs w:val="24"/>
              </w:rPr>
              <w:t>项扣</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分；一般响应指标不满足或负偏离每项扣1分，扣完为止。（加“</w:t>
            </w:r>
            <w:r>
              <w:rPr>
                <w:rFonts w:hint="eastAsia" w:ascii="仿宋" w:hAnsi="仿宋" w:eastAsia="仿宋" w:cs="仿宋"/>
                <w:sz w:val="24"/>
                <w:szCs w:val="24"/>
              </w:rPr>
              <w:t>★”指标为实质性要求和条件，不允许负偏离，否则按投标无效处理。加“▲”的指标为重要响应指标，其他为一般响应指标，未按招标文件要求提供证明材料的视为不满足，按扣分处理）：</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注：投标文件中须提供“★”和“▲”的指标的证明材料并标注页码，除技术要求中明确的证明材料外，证明材料包括但不限于产品白皮书或产品说明书或公开出版的宣传材料或产品彩页等，未提供证明材料的视为不满足，按扣分处理。本项最高得27分，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5" w:hRule="atLeast"/>
          <w:jc w:val="center"/>
        </w:trPr>
        <w:tc>
          <w:tcPr>
            <w:tcW w:w="1377" w:type="dxa"/>
            <w:vMerge w:val="restart"/>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技术部分（21分）</w:t>
            </w:r>
          </w:p>
        </w:tc>
        <w:tc>
          <w:tcPr>
            <w:tcW w:w="1459"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4"/>
                <w:szCs w:val="24"/>
              </w:rPr>
            </w:pPr>
            <w:r>
              <w:rPr>
                <w:rFonts w:hint="eastAsia" w:ascii="仿宋" w:hAnsi="仿宋" w:eastAsia="仿宋" w:cs="仿宋"/>
                <w:sz w:val="24"/>
                <w:szCs w:val="24"/>
              </w:rPr>
              <w:t>产品技术性能指标</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（5分）</w:t>
            </w:r>
          </w:p>
        </w:tc>
        <w:tc>
          <w:tcPr>
            <w:tcW w:w="7544" w:type="dxa"/>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产品总体性能（对比所投核心产品，从产品配置选型科学先进性、各部件兼容性，产品整体设计先进、性能稳定、安全耐用、技术标准的等级等进行综合比较）</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以上内容不存在瑕疵:</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以上内容存在1处瑕疵:</w:t>
            </w:r>
            <w:r>
              <w:rPr>
                <w:rFonts w:hint="eastAsia" w:ascii="仿宋" w:hAnsi="仿宋" w:eastAsia="仿宋" w:cs="仿宋"/>
                <w:sz w:val="24"/>
                <w:szCs w:val="24"/>
                <w:lang w:val="en-US" w:eastAsia="zh-CN"/>
              </w:rPr>
              <w:t>4</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以上内容存在2处瑕疵:</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以上内容存在3处瑕疵:</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以上内容存在</w:t>
            </w:r>
            <w:r>
              <w:rPr>
                <w:rFonts w:hint="eastAsia" w:ascii="仿宋" w:hAnsi="仿宋" w:eastAsia="仿宋" w:cs="仿宋"/>
                <w:sz w:val="24"/>
                <w:szCs w:val="24"/>
                <w:lang w:val="en-US" w:eastAsia="zh-CN"/>
              </w:rPr>
              <w:t>4</w:t>
            </w:r>
            <w:r>
              <w:rPr>
                <w:rFonts w:hint="eastAsia" w:ascii="仿宋" w:hAnsi="仿宋" w:eastAsia="仿宋" w:cs="仿宋"/>
                <w:sz w:val="24"/>
                <w:szCs w:val="24"/>
              </w:rPr>
              <w:t>处瑕疵:</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未提供方案或不满足施工要求或内容存在</w:t>
            </w:r>
            <w:r>
              <w:rPr>
                <w:rFonts w:hint="eastAsia" w:ascii="仿宋" w:hAnsi="仿宋" w:eastAsia="仿宋" w:cs="仿宋"/>
                <w:sz w:val="24"/>
                <w:szCs w:val="24"/>
                <w:lang w:val="en-US" w:eastAsia="zh-CN"/>
              </w:rPr>
              <w:t>5</w:t>
            </w:r>
            <w:r>
              <w:rPr>
                <w:rFonts w:hint="eastAsia" w:ascii="仿宋" w:hAnsi="仿宋" w:eastAsia="仿宋" w:cs="仿宋"/>
                <w:sz w:val="24"/>
                <w:szCs w:val="24"/>
              </w:rPr>
              <w:t>处及以上瑕疵:0分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lang w:val="en-US" w:eastAsia="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7" w:hRule="atLeast"/>
          <w:jc w:val="center"/>
        </w:trPr>
        <w:tc>
          <w:tcPr>
            <w:tcW w:w="1377" w:type="dxa"/>
            <w:vMerge w:val="continue"/>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tc>
        <w:tc>
          <w:tcPr>
            <w:tcW w:w="1459" w:type="dxa"/>
            <w:shd w:val="clear" w:color="auto" w:fill="auto"/>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4"/>
                <w:szCs w:val="24"/>
              </w:rPr>
            </w:pPr>
            <w:r>
              <w:rPr>
                <w:rFonts w:hint="eastAsia" w:ascii="仿宋" w:hAnsi="仿宋" w:eastAsia="仿宋" w:cs="仿宋"/>
                <w:sz w:val="24"/>
                <w:szCs w:val="24"/>
              </w:rPr>
              <w:t>供货组织方案</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（5分）</w:t>
            </w:r>
          </w:p>
        </w:tc>
        <w:tc>
          <w:tcPr>
            <w:tcW w:w="7544" w:type="dxa"/>
            <w:shd w:val="clear" w:color="auto" w:fill="auto"/>
            <w:vAlign w:val="center"/>
          </w:tcPr>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供应商提供的</w:t>
            </w:r>
            <w:r>
              <w:rPr>
                <w:rFonts w:hint="eastAsia" w:ascii="仿宋" w:hAnsi="仿宋" w:eastAsia="仿宋" w:cs="仿宋"/>
                <w:sz w:val="24"/>
                <w:szCs w:val="24"/>
              </w:rPr>
              <w:t>供货组织实施方案科学合理、保障有力，货源充足、配送速度快，实施阶段安排合理，能完全按照用户要求供货等</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以上内容不存在瑕疵:</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以上内容存在1处瑕疵:</w:t>
            </w:r>
            <w:r>
              <w:rPr>
                <w:rFonts w:hint="eastAsia" w:ascii="仿宋" w:hAnsi="仿宋" w:eastAsia="仿宋" w:cs="仿宋"/>
                <w:sz w:val="24"/>
                <w:szCs w:val="24"/>
                <w:lang w:val="en-US" w:eastAsia="zh-CN"/>
              </w:rPr>
              <w:t>4</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以上内容存在2处瑕疵:</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以上内容存在3处瑕疵:</w:t>
            </w:r>
            <w:r>
              <w:rPr>
                <w:rFonts w:hint="eastAsia" w:ascii="仿宋" w:hAnsi="仿宋" w:eastAsia="仿宋" w:cs="仿宋"/>
                <w:sz w:val="24"/>
                <w:szCs w:val="24"/>
                <w:lang w:val="en-US" w:eastAsia="zh-CN"/>
              </w:rPr>
              <w:t>2</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以上内容存在</w:t>
            </w:r>
            <w:r>
              <w:rPr>
                <w:rFonts w:hint="eastAsia" w:ascii="仿宋" w:hAnsi="仿宋" w:eastAsia="仿宋" w:cs="仿宋"/>
                <w:sz w:val="24"/>
                <w:szCs w:val="24"/>
                <w:lang w:val="en-US" w:eastAsia="zh-CN"/>
              </w:rPr>
              <w:t>4</w:t>
            </w:r>
            <w:r>
              <w:rPr>
                <w:rFonts w:hint="eastAsia" w:ascii="仿宋" w:hAnsi="仿宋" w:eastAsia="仿宋" w:cs="仿宋"/>
                <w:sz w:val="24"/>
                <w:szCs w:val="24"/>
              </w:rPr>
              <w:t>处瑕疵:</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未提供方案或不满足施工要求或内容存在</w:t>
            </w:r>
            <w:r>
              <w:rPr>
                <w:rFonts w:hint="eastAsia" w:ascii="仿宋" w:hAnsi="仿宋" w:eastAsia="仿宋" w:cs="仿宋"/>
                <w:sz w:val="24"/>
                <w:szCs w:val="24"/>
                <w:lang w:val="en-US" w:eastAsia="zh-CN"/>
              </w:rPr>
              <w:t>5</w:t>
            </w:r>
            <w:r>
              <w:rPr>
                <w:rFonts w:hint="eastAsia" w:ascii="仿宋" w:hAnsi="仿宋" w:eastAsia="仿宋" w:cs="仿宋"/>
                <w:sz w:val="24"/>
                <w:szCs w:val="24"/>
              </w:rPr>
              <w:t>处及以上瑕疵:0分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lang w:val="en-US" w:eastAsia="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27" w:hRule="atLeast"/>
          <w:jc w:val="center"/>
        </w:trPr>
        <w:tc>
          <w:tcPr>
            <w:tcW w:w="1377" w:type="dxa"/>
            <w:vMerge w:val="continue"/>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p>
        </w:tc>
        <w:tc>
          <w:tcPr>
            <w:tcW w:w="1459"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质保期方案</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（11分）</w:t>
            </w:r>
          </w:p>
        </w:tc>
        <w:tc>
          <w:tcPr>
            <w:tcW w:w="7544" w:type="dxa"/>
            <w:shd w:val="clear" w:color="auto" w:fill="auto"/>
            <w:vAlign w:val="center"/>
          </w:tcPr>
          <w:p>
            <w:pPr>
              <w:keepNext w:val="0"/>
              <w:keepLines w:val="0"/>
              <w:pageBreakBefore w:val="0"/>
              <w:tabs>
                <w:tab w:val="left" w:pos="1541"/>
              </w:tabs>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综合评比各投标人的免费质保期内及质保期外的服务方案：</w:t>
            </w:r>
          </w:p>
          <w:p>
            <w:pPr>
              <w:pStyle w:val="224"/>
              <w:keepNext w:val="0"/>
              <w:keepLines w:val="0"/>
              <w:pageBreakBefore w:val="0"/>
              <w:numPr>
                <w:ilvl w:val="0"/>
                <w:numId w:val="0"/>
              </w:numPr>
              <w:kinsoku/>
              <w:wordWrap/>
              <w:overflowPunct/>
              <w:topLinePunct w:val="0"/>
              <w:autoSpaceDE/>
              <w:autoSpaceDN/>
              <w:bidi w:val="0"/>
              <w:adjustRightInd/>
              <w:snapToGrid/>
              <w:spacing w:before="0" w:after="0" w:line="380" w:lineRule="exact"/>
              <w:ind w:leftChars="0"/>
              <w:textAlignment w:val="auto"/>
              <w:outlineLvl w:val="9"/>
              <w:rPr>
                <w:rFonts w:ascii="仿宋" w:hAnsi="仿宋" w:eastAsia="仿宋" w:cs="仿宋"/>
                <w:sz w:val="24"/>
                <w:szCs w:val="24"/>
              </w:rPr>
            </w:pPr>
            <w:bookmarkStart w:id="25" w:name="OLE_LINK18"/>
            <w:bookmarkStart w:id="26" w:name="OLE_LINK6"/>
            <w:r>
              <w:rPr>
                <w:rFonts w:hint="eastAsia" w:ascii="仿宋" w:hAnsi="仿宋" w:eastAsia="仿宋" w:cs="仿宋"/>
                <w:sz w:val="24"/>
                <w:szCs w:val="24"/>
                <w:lang w:val="en-US" w:eastAsia="zh-CN"/>
              </w:rPr>
              <w:t>1.</w:t>
            </w:r>
            <w:r>
              <w:rPr>
                <w:rFonts w:hint="eastAsia" w:ascii="仿宋" w:hAnsi="仿宋" w:eastAsia="仿宋" w:cs="仿宋"/>
                <w:sz w:val="24"/>
                <w:szCs w:val="24"/>
              </w:rPr>
              <w:t>整车</w:t>
            </w:r>
            <w:bookmarkEnd w:id="25"/>
            <w:r>
              <w:rPr>
                <w:rFonts w:hint="eastAsia" w:ascii="仿宋" w:hAnsi="仿宋" w:eastAsia="仿宋" w:cs="仿宋"/>
                <w:sz w:val="24"/>
                <w:szCs w:val="24"/>
              </w:rPr>
              <w:t>质保期外增加4年</w:t>
            </w:r>
            <w:bookmarkStart w:id="27" w:name="OLE_LINK7"/>
            <w:r>
              <w:rPr>
                <w:rFonts w:hint="eastAsia" w:ascii="仿宋" w:hAnsi="仿宋" w:eastAsia="仿宋" w:cs="仿宋"/>
                <w:sz w:val="24"/>
                <w:szCs w:val="24"/>
              </w:rPr>
              <w:t>质保期</w:t>
            </w:r>
            <w:bookmarkEnd w:id="27"/>
            <w:r>
              <w:rPr>
                <w:rFonts w:hint="eastAsia" w:ascii="仿宋" w:hAnsi="仿宋" w:eastAsia="仿宋" w:cs="仿宋"/>
                <w:sz w:val="24"/>
                <w:szCs w:val="24"/>
              </w:rPr>
              <w:t>的得11分</w:t>
            </w:r>
            <w:bookmarkEnd w:id="26"/>
            <w:r>
              <w:rPr>
                <w:rFonts w:hint="eastAsia" w:ascii="仿宋" w:hAnsi="仿宋" w:eastAsia="仿宋" w:cs="仿宋"/>
                <w:sz w:val="24"/>
                <w:szCs w:val="24"/>
              </w:rPr>
              <w:t>；</w:t>
            </w:r>
          </w:p>
          <w:p>
            <w:pPr>
              <w:pStyle w:val="224"/>
              <w:keepNext w:val="0"/>
              <w:keepLines w:val="0"/>
              <w:pageBreakBefore w:val="0"/>
              <w:numPr>
                <w:ilvl w:val="0"/>
                <w:numId w:val="0"/>
              </w:numPr>
              <w:kinsoku/>
              <w:wordWrap/>
              <w:overflowPunct/>
              <w:topLinePunct w:val="0"/>
              <w:autoSpaceDE/>
              <w:autoSpaceDN/>
              <w:bidi w:val="0"/>
              <w:adjustRightInd/>
              <w:snapToGrid/>
              <w:spacing w:before="0" w:after="0" w:line="380" w:lineRule="exact"/>
              <w:ind w:leftChars="0"/>
              <w:textAlignment w:val="auto"/>
              <w:outlineLvl w:val="9"/>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整车质保期外增加3年质保期的得8分；</w:t>
            </w:r>
          </w:p>
          <w:p>
            <w:pPr>
              <w:pStyle w:val="201"/>
              <w:keepNext w:val="0"/>
              <w:keepLines w:val="0"/>
              <w:pageBreakBefore w:val="0"/>
              <w:kinsoku/>
              <w:wordWrap/>
              <w:overflowPunct/>
              <w:topLinePunct w:val="0"/>
              <w:autoSpaceDE/>
              <w:autoSpaceDN/>
              <w:bidi w:val="0"/>
              <w:adjustRightInd/>
              <w:snapToGrid/>
              <w:spacing w:line="380" w:lineRule="exact"/>
              <w:textAlignment w:val="auto"/>
              <w:outlineLvl w:val="9"/>
              <w:rPr>
                <w:rFonts w:ascii="仿宋" w:hAnsi="仿宋" w:eastAsia="仿宋" w:cs="仿宋"/>
                <w:sz w:val="24"/>
                <w:szCs w:val="24"/>
              </w:rPr>
            </w:pPr>
            <w:r>
              <w:rPr>
                <w:rFonts w:hint="eastAsia" w:ascii="仿宋" w:hAnsi="仿宋" w:eastAsia="仿宋" w:cs="仿宋"/>
                <w:sz w:val="24"/>
                <w:szCs w:val="24"/>
              </w:rPr>
              <w:t>3.整车质保期外增加2年质保期的得6分；</w:t>
            </w:r>
          </w:p>
          <w:p>
            <w:pPr>
              <w:pStyle w:val="201"/>
              <w:keepNext w:val="0"/>
              <w:keepLines w:val="0"/>
              <w:pageBreakBefore w:val="0"/>
              <w:kinsoku/>
              <w:wordWrap/>
              <w:overflowPunct/>
              <w:topLinePunct w:val="0"/>
              <w:autoSpaceDE/>
              <w:autoSpaceDN/>
              <w:bidi w:val="0"/>
              <w:adjustRightInd/>
              <w:snapToGrid/>
              <w:spacing w:line="380" w:lineRule="exact"/>
              <w:textAlignment w:val="auto"/>
              <w:outlineLvl w:val="9"/>
              <w:rPr>
                <w:rFonts w:ascii="仿宋" w:hAnsi="仿宋" w:eastAsia="仿宋" w:cs="仿宋"/>
                <w:sz w:val="24"/>
                <w:szCs w:val="24"/>
              </w:rPr>
            </w:pPr>
            <w:r>
              <w:rPr>
                <w:rFonts w:hint="eastAsia" w:ascii="仿宋" w:hAnsi="仿宋" w:eastAsia="仿宋" w:cs="仿宋"/>
                <w:sz w:val="24"/>
                <w:szCs w:val="24"/>
              </w:rPr>
              <w:t>4.整车质保期外增加1年质保期的得4分；</w:t>
            </w:r>
          </w:p>
          <w:p>
            <w:pPr>
              <w:keepNext w:val="0"/>
              <w:keepLines w:val="0"/>
              <w:pageBreakBefore w:val="0"/>
              <w:tabs>
                <w:tab w:val="left" w:pos="1541"/>
              </w:tabs>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5.整车质保期外没有增加的得0分；</w:t>
            </w:r>
          </w:p>
          <w:p>
            <w:pPr>
              <w:keepNext w:val="0"/>
              <w:keepLines w:val="0"/>
              <w:pageBreakBefore w:val="0"/>
              <w:tabs>
                <w:tab w:val="left" w:pos="1541"/>
              </w:tabs>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rPr>
              <w:t>6.投标人提供整车质保期的承诺书，（格式自拟）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09" w:hRule="atLeast"/>
          <w:jc w:val="center"/>
        </w:trPr>
        <w:tc>
          <w:tcPr>
            <w:tcW w:w="1377"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售后、维修、培训服务方案</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（9分）</w:t>
            </w:r>
          </w:p>
        </w:tc>
        <w:tc>
          <w:tcPr>
            <w:tcW w:w="1459" w:type="dxa"/>
            <w:shd w:val="clear" w:color="auto" w:fill="auto"/>
            <w:vAlign w:val="center"/>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bookmarkStart w:id="28" w:name="OLE_LINK9"/>
            <w:r>
              <w:rPr>
                <w:rFonts w:hint="eastAsia" w:ascii="仿宋" w:hAnsi="仿宋" w:eastAsia="仿宋" w:cs="仿宋"/>
                <w:sz w:val="24"/>
                <w:szCs w:val="24"/>
              </w:rPr>
              <w:t>售后、维修、培训服务方案</w:t>
            </w:r>
          </w:p>
          <w:bookmarkEnd w:id="28"/>
          <w:p>
            <w:pPr>
              <w:pStyle w:val="43"/>
              <w:pageBreakBefore w:val="0"/>
              <w:wordWrap/>
              <w:topLinePunct w:val="0"/>
              <w:autoSpaceDE/>
              <w:autoSpaceDN/>
              <w:bidi w:val="0"/>
              <w:adjustRightInd/>
              <w:snapToGrid/>
              <w:spacing w:line="440" w:lineRule="exact"/>
              <w:textAlignment w:val="auto"/>
              <w:rPr>
                <w:rFonts w:ascii="仿宋" w:hAnsi="仿宋" w:eastAsia="仿宋" w:cs="仿宋"/>
                <w:sz w:val="24"/>
                <w:szCs w:val="24"/>
              </w:rPr>
            </w:pPr>
            <w:r>
              <w:rPr>
                <w:rFonts w:hint="eastAsia" w:ascii="仿宋" w:hAnsi="仿宋" w:eastAsia="仿宋" w:cs="仿宋"/>
                <w:sz w:val="24"/>
                <w:szCs w:val="24"/>
              </w:rPr>
              <w:t xml:space="preserve"> （9分）</w:t>
            </w:r>
          </w:p>
        </w:tc>
        <w:tc>
          <w:tcPr>
            <w:tcW w:w="7544" w:type="dxa"/>
            <w:shd w:val="clear" w:color="auto" w:fill="auto"/>
            <w:vAlign w:val="center"/>
          </w:tcPr>
          <w:p>
            <w:pPr>
              <w:keepNext w:val="0"/>
              <w:keepLines w:val="0"/>
              <w:pageBreakBefore w:val="0"/>
              <w:tabs>
                <w:tab w:val="left" w:pos="1541"/>
              </w:tabs>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rPr>
              <w:t>投标人售后、维修、培训服务方案细致、针对性强，方案及措施体系完备的，且满足用户要求</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以上内容不存在瑕疵:</w:t>
            </w:r>
            <w:r>
              <w:rPr>
                <w:rFonts w:hint="eastAsia" w:ascii="仿宋" w:hAnsi="仿宋" w:eastAsia="仿宋" w:cs="仿宋"/>
                <w:sz w:val="24"/>
                <w:szCs w:val="24"/>
                <w:lang w:val="en-US" w:eastAsia="zh-CN"/>
              </w:rPr>
              <w:t>9</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以上内容存在1处瑕疵:</w:t>
            </w:r>
            <w:r>
              <w:rPr>
                <w:rFonts w:hint="eastAsia" w:ascii="仿宋" w:hAnsi="仿宋" w:eastAsia="仿宋" w:cs="仿宋"/>
                <w:sz w:val="24"/>
                <w:szCs w:val="24"/>
                <w:lang w:val="en-US" w:eastAsia="zh-CN"/>
              </w:rPr>
              <w:t>7</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以上内容存在2处瑕疵:</w:t>
            </w:r>
            <w:r>
              <w:rPr>
                <w:rFonts w:hint="eastAsia" w:ascii="仿宋" w:hAnsi="仿宋" w:eastAsia="仿宋" w:cs="仿宋"/>
                <w:sz w:val="24"/>
                <w:szCs w:val="24"/>
                <w:lang w:val="en-US" w:eastAsia="zh-CN"/>
              </w:rPr>
              <w:t>5</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以上内容存在3处瑕疵:</w:t>
            </w:r>
            <w:r>
              <w:rPr>
                <w:rFonts w:hint="eastAsia" w:ascii="仿宋" w:hAnsi="仿宋" w:eastAsia="仿宋" w:cs="仿宋"/>
                <w:sz w:val="24"/>
                <w:szCs w:val="24"/>
                <w:lang w:val="en-US" w:eastAsia="zh-CN"/>
              </w:rPr>
              <w:t>3</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以上内容存在</w:t>
            </w:r>
            <w:r>
              <w:rPr>
                <w:rFonts w:hint="eastAsia" w:ascii="仿宋" w:hAnsi="仿宋" w:eastAsia="仿宋" w:cs="仿宋"/>
                <w:sz w:val="24"/>
                <w:szCs w:val="24"/>
                <w:lang w:val="en-US" w:eastAsia="zh-CN"/>
              </w:rPr>
              <w:t>4</w:t>
            </w:r>
            <w:r>
              <w:rPr>
                <w:rFonts w:hint="eastAsia" w:ascii="仿宋" w:hAnsi="仿宋" w:eastAsia="仿宋" w:cs="仿宋"/>
                <w:sz w:val="24"/>
                <w:szCs w:val="24"/>
              </w:rPr>
              <w:t>处瑕疵:</w:t>
            </w:r>
            <w:r>
              <w:rPr>
                <w:rFonts w:hint="eastAsia" w:ascii="仿宋" w:hAnsi="仿宋" w:eastAsia="仿宋" w:cs="仿宋"/>
                <w:sz w:val="24"/>
                <w:szCs w:val="24"/>
                <w:lang w:val="en-US" w:eastAsia="zh-CN"/>
              </w:rPr>
              <w:t>1</w:t>
            </w:r>
            <w:r>
              <w:rPr>
                <w:rFonts w:hint="eastAsia" w:ascii="仿宋" w:hAnsi="仿宋" w:eastAsia="仿宋" w:cs="仿宋"/>
                <w:sz w:val="24"/>
                <w:szCs w:val="24"/>
              </w:rPr>
              <w:t>分</w:t>
            </w:r>
            <w:r>
              <w:rPr>
                <w:rFonts w:hint="eastAsia" w:ascii="仿宋" w:hAnsi="仿宋" w:eastAsia="仿宋" w:cs="仿宋"/>
                <w:sz w:val="24"/>
                <w:szCs w:val="24"/>
                <w:lang w:eastAsia="zh-CN"/>
              </w:rPr>
              <w:t>；</w:t>
            </w:r>
          </w:p>
          <w:p>
            <w:pPr>
              <w:keepNext w:val="0"/>
              <w:keepLines w:val="0"/>
              <w:pageBreakBefore w:val="0"/>
              <w:kinsoku/>
              <w:wordWrap/>
              <w:overflowPunct/>
              <w:topLinePunct w:val="0"/>
              <w:autoSpaceDE/>
              <w:autoSpaceDN/>
              <w:bidi w:val="0"/>
              <w:adjustRightInd/>
              <w:snapToGrid/>
              <w:spacing w:line="380" w:lineRule="exact"/>
              <w:ind w:right="6"/>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未提供方案或不满足施工要求或内容存在</w:t>
            </w:r>
            <w:r>
              <w:rPr>
                <w:rFonts w:hint="eastAsia" w:ascii="仿宋" w:hAnsi="仿宋" w:eastAsia="仿宋" w:cs="仿宋"/>
                <w:sz w:val="24"/>
                <w:szCs w:val="24"/>
                <w:lang w:val="en-US" w:eastAsia="zh-CN"/>
              </w:rPr>
              <w:t>5</w:t>
            </w:r>
            <w:r>
              <w:rPr>
                <w:rFonts w:hint="eastAsia" w:ascii="仿宋" w:hAnsi="仿宋" w:eastAsia="仿宋" w:cs="仿宋"/>
                <w:sz w:val="24"/>
                <w:szCs w:val="24"/>
              </w:rPr>
              <w:t>处及以上瑕疵:0分</w:t>
            </w:r>
            <w:r>
              <w:rPr>
                <w:rFonts w:hint="eastAsia" w:ascii="仿宋" w:hAnsi="仿宋" w:eastAsia="仿宋" w:cs="仿宋"/>
                <w:sz w:val="24"/>
                <w:szCs w:val="24"/>
                <w:lang w:eastAsia="zh-CN"/>
              </w:rPr>
              <w:t>。</w:t>
            </w:r>
          </w:p>
          <w:p>
            <w:pPr>
              <w:keepNext w:val="0"/>
              <w:keepLines w:val="0"/>
              <w:pageBreakBefore w:val="0"/>
              <w:tabs>
                <w:tab w:val="left" w:pos="1541"/>
              </w:tabs>
              <w:kinsoku/>
              <w:wordWrap/>
              <w:overflowPunct/>
              <w:topLinePunct w:val="0"/>
              <w:autoSpaceDE/>
              <w:autoSpaceDN/>
              <w:bidi w:val="0"/>
              <w:adjustRightInd/>
              <w:snapToGrid/>
              <w:spacing w:line="380" w:lineRule="exact"/>
              <w:ind w:right="6"/>
              <w:textAlignment w:val="auto"/>
              <w:outlineLvl w:val="9"/>
              <w:rPr>
                <w:rFonts w:ascii="仿宋" w:hAnsi="仿宋" w:eastAsia="仿宋" w:cs="仿宋"/>
                <w:sz w:val="24"/>
                <w:szCs w:val="24"/>
              </w:rPr>
            </w:pPr>
            <w:r>
              <w:rPr>
                <w:rFonts w:hint="eastAsia" w:ascii="仿宋" w:hAnsi="仿宋" w:eastAsia="仿宋" w:cs="仿宋"/>
                <w:sz w:val="24"/>
                <w:szCs w:val="24"/>
                <w:lang w:val="en-US" w:eastAsia="zh-CN"/>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bl>
    <w:p>
      <w:pPr>
        <w:pageBreakBefore w:val="0"/>
        <w:wordWrap/>
        <w:topLinePunct w:val="0"/>
        <w:autoSpaceDE/>
        <w:autoSpaceDN/>
        <w:bidi w:val="0"/>
        <w:adjustRightInd/>
        <w:snapToGrid/>
        <w:spacing w:line="440" w:lineRule="exact"/>
        <w:textAlignment w:val="auto"/>
        <w:rPr>
          <w:rFonts w:ascii="仿宋" w:hAnsi="仿宋" w:eastAsia="仿宋" w:cs="仿宋"/>
          <w:b/>
          <w:bCs/>
          <w:sz w:val="32"/>
          <w:szCs w:val="32"/>
        </w:rPr>
      </w:pPr>
      <w:r>
        <w:rPr>
          <w:rFonts w:hint="eastAsia" w:ascii="仿宋" w:hAnsi="仿宋" w:eastAsia="仿宋" w:cs="仿宋"/>
          <w:b/>
          <w:bCs/>
          <w:sz w:val="32"/>
          <w:szCs w:val="32"/>
        </w:rPr>
        <w:br w:type="page"/>
      </w:r>
    </w:p>
    <w:p>
      <w:pPr>
        <w:pStyle w:val="195"/>
        <w:pageBreakBefore w:val="0"/>
        <w:wordWrap/>
        <w:topLinePunct w:val="0"/>
        <w:autoSpaceDE/>
        <w:autoSpaceDN/>
        <w:bidi w:val="0"/>
        <w:adjustRightInd/>
        <w:snapToGrid/>
        <w:spacing w:line="440" w:lineRule="exact"/>
        <w:jc w:val="center"/>
        <w:textAlignment w:val="auto"/>
        <w:rPr>
          <w:rFonts w:ascii="仿宋" w:hAnsi="仿宋" w:eastAsia="仿宋" w:cs="仿宋"/>
          <w:sz w:val="24"/>
        </w:rPr>
      </w:pPr>
      <w:r>
        <w:rPr>
          <w:rFonts w:hint="eastAsia" w:ascii="仿宋" w:hAnsi="仿宋" w:eastAsia="仿宋" w:cs="仿宋"/>
          <w:b/>
          <w:bCs/>
          <w:sz w:val="32"/>
          <w:szCs w:val="32"/>
        </w:rPr>
        <w:t>第五章  拟签订的合同文本</w:t>
      </w:r>
      <w:bookmarkEnd w:id="20"/>
    </w:p>
    <w:p>
      <w:pPr>
        <w:pStyle w:val="199"/>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项目名称：</w:t>
      </w:r>
    </w:p>
    <w:p>
      <w:pPr>
        <w:pStyle w:val="199"/>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项目编号：</w:t>
      </w:r>
    </w:p>
    <w:p>
      <w:pPr>
        <w:pStyle w:val="199"/>
        <w:pageBreakBefore w:val="0"/>
        <w:wordWrap/>
        <w:topLinePunct w:val="0"/>
        <w:autoSpaceDE/>
        <w:autoSpaceDN/>
        <w:bidi w:val="0"/>
        <w:adjustRightInd/>
        <w:snapToGrid/>
        <w:spacing w:line="240" w:lineRule="auto"/>
        <w:jc w:val="center"/>
        <w:textAlignment w:val="auto"/>
        <w:rPr>
          <w:rFonts w:ascii="仿宋" w:hAnsi="仿宋" w:eastAsia="仿宋" w:cs="仿宋"/>
          <w:sz w:val="72"/>
          <w:szCs w:val="72"/>
        </w:rPr>
      </w:pPr>
      <w:r>
        <w:rPr>
          <w:rFonts w:hint="eastAsia" w:ascii="仿宋" w:hAnsi="仿宋" w:eastAsia="仿宋" w:cs="仿宋"/>
          <w:sz w:val="72"/>
          <w:szCs w:val="72"/>
        </w:rPr>
        <w:t>政</w:t>
      </w:r>
    </w:p>
    <w:p>
      <w:pPr>
        <w:pStyle w:val="199"/>
        <w:pageBreakBefore w:val="0"/>
        <w:wordWrap/>
        <w:topLinePunct w:val="0"/>
        <w:autoSpaceDE/>
        <w:autoSpaceDN/>
        <w:bidi w:val="0"/>
        <w:adjustRightInd/>
        <w:snapToGrid/>
        <w:spacing w:line="240" w:lineRule="auto"/>
        <w:jc w:val="center"/>
        <w:textAlignment w:val="auto"/>
        <w:rPr>
          <w:rFonts w:ascii="仿宋" w:hAnsi="仿宋" w:eastAsia="仿宋" w:cs="仿宋"/>
          <w:sz w:val="72"/>
          <w:szCs w:val="72"/>
        </w:rPr>
      </w:pPr>
      <w:r>
        <w:rPr>
          <w:rFonts w:hint="eastAsia" w:ascii="仿宋" w:hAnsi="仿宋" w:eastAsia="仿宋" w:cs="仿宋"/>
          <w:sz w:val="72"/>
          <w:szCs w:val="72"/>
        </w:rPr>
        <w:t>府</w:t>
      </w:r>
    </w:p>
    <w:p>
      <w:pPr>
        <w:pStyle w:val="199"/>
        <w:pageBreakBefore w:val="0"/>
        <w:wordWrap/>
        <w:topLinePunct w:val="0"/>
        <w:autoSpaceDE/>
        <w:autoSpaceDN/>
        <w:bidi w:val="0"/>
        <w:adjustRightInd/>
        <w:snapToGrid/>
        <w:spacing w:line="240" w:lineRule="auto"/>
        <w:jc w:val="center"/>
        <w:textAlignment w:val="auto"/>
        <w:rPr>
          <w:rFonts w:ascii="仿宋" w:hAnsi="仿宋" w:eastAsia="仿宋" w:cs="仿宋"/>
          <w:sz w:val="72"/>
          <w:szCs w:val="72"/>
        </w:rPr>
      </w:pPr>
      <w:r>
        <w:rPr>
          <w:rFonts w:hint="eastAsia" w:ascii="仿宋" w:hAnsi="仿宋" w:eastAsia="仿宋" w:cs="仿宋"/>
          <w:sz w:val="72"/>
          <w:szCs w:val="72"/>
        </w:rPr>
        <w:t>采</w:t>
      </w:r>
    </w:p>
    <w:p>
      <w:pPr>
        <w:pStyle w:val="199"/>
        <w:pageBreakBefore w:val="0"/>
        <w:wordWrap/>
        <w:topLinePunct w:val="0"/>
        <w:autoSpaceDE/>
        <w:autoSpaceDN/>
        <w:bidi w:val="0"/>
        <w:adjustRightInd/>
        <w:snapToGrid/>
        <w:spacing w:line="240" w:lineRule="auto"/>
        <w:jc w:val="center"/>
        <w:textAlignment w:val="auto"/>
        <w:rPr>
          <w:rFonts w:ascii="仿宋" w:hAnsi="仿宋" w:eastAsia="仿宋" w:cs="仿宋"/>
          <w:sz w:val="72"/>
          <w:szCs w:val="72"/>
        </w:rPr>
      </w:pPr>
      <w:r>
        <w:rPr>
          <w:rFonts w:hint="eastAsia" w:ascii="仿宋" w:hAnsi="仿宋" w:eastAsia="仿宋" w:cs="仿宋"/>
          <w:sz w:val="72"/>
          <w:szCs w:val="72"/>
        </w:rPr>
        <w:t>购</w:t>
      </w:r>
    </w:p>
    <w:p>
      <w:pPr>
        <w:pStyle w:val="199"/>
        <w:pageBreakBefore w:val="0"/>
        <w:wordWrap/>
        <w:topLinePunct w:val="0"/>
        <w:autoSpaceDE/>
        <w:autoSpaceDN/>
        <w:bidi w:val="0"/>
        <w:adjustRightInd/>
        <w:snapToGrid/>
        <w:spacing w:line="240" w:lineRule="auto"/>
        <w:jc w:val="center"/>
        <w:textAlignment w:val="auto"/>
        <w:rPr>
          <w:rFonts w:ascii="仿宋" w:hAnsi="仿宋" w:eastAsia="仿宋" w:cs="仿宋"/>
          <w:sz w:val="72"/>
          <w:szCs w:val="72"/>
        </w:rPr>
      </w:pPr>
      <w:r>
        <w:rPr>
          <w:rFonts w:hint="eastAsia" w:ascii="仿宋" w:hAnsi="仿宋" w:eastAsia="仿宋" w:cs="仿宋"/>
          <w:sz w:val="72"/>
          <w:szCs w:val="72"/>
        </w:rPr>
        <w:t>合</w:t>
      </w:r>
    </w:p>
    <w:p>
      <w:pPr>
        <w:pStyle w:val="199"/>
        <w:pageBreakBefore w:val="0"/>
        <w:wordWrap/>
        <w:topLinePunct w:val="0"/>
        <w:autoSpaceDE/>
        <w:autoSpaceDN/>
        <w:bidi w:val="0"/>
        <w:adjustRightInd/>
        <w:snapToGrid/>
        <w:spacing w:line="240" w:lineRule="auto"/>
        <w:jc w:val="center"/>
        <w:textAlignment w:val="auto"/>
        <w:rPr>
          <w:rFonts w:ascii="仿宋" w:hAnsi="仿宋" w:eastAsia="仿宋" w:cs="仿宋"/>
          <w:sz w:val="72"/>
          <w:szCs w:val="72"/>
        </w:rPr>
      </w:pPr>
      <w:r>
        <w:rPr>
          <w:rFonts w:hint="eastAsia" w:ascii="仿宋" w:hAnsi="仿宋" w:eastAsia="仿宋" w:cs="仿宋"/>
          <w:sz w:val="72"/>
          <w:szCs w:val="72"/>
        </w:rPr>
        <w:t>同</w:t>
      </w:r>
    </w:p>
    <w:p>
      <w:pPr>
        <w:pStyle w:val="199"/>
        <w:pageBreakBefore w:val="0"/>
        <w:wordWrap/>
        <w:topLinePunct w:val="0"/>
        <w:autoSpaceDE/>
        <w:autoSpaceDN/>
        <w:bidi w:val="0"/>
        <w:adjustRightInd/>
        <w:snapToGrid/>
        <w:spacing w:line="440" w:lineRule="exact"/>
        <w:textAlignment w:val="auto"/>
        <w:rPr>
          <w:rFonts w:ascii="仿宋" w:hAnsi="仿宋" w:eastAsia="仿宋" w:cs="仿宋"/>
        </w:rPr>
      </w:pPr>
    </w:p>
    <w:p>
      <w:pPr>
        <w:pageBreakBefore w:val="0"/>
        <w:wordWrap/>
        <w:topLinePunct w:val="0"/>
        <w:autoSpaceDE/>
        <w:autoSpaceDN/>
        <w:bidi w:val="0"/>
        <w:adjustRightInd/>
        <w:snapToGrid/>
        <w:spacing w:line="440" w:lineRule="exact"/>
        <w:textAlignment w:val="auto"/>
        <w:rPr>
          <w:rFonts w:ascii="仿宋" w:hAnsi="仿宋" w:eastAsia="仿宋" w:cs="仿宋"/>
        </w:rPr>
      </w:pPr>
    </w:p>
    <w:p>
      <w:pPr>
        <w:pStyle w:val="199"/>
        <w:pageBreakBefore w:val="0"/>
        <w:wordWrap/>
        <w:topLinePunct w:val="0"/>
        <w:autoSpaceDE/>
        <w:autoSpaceDN/>
        <w:bidi w:val="0"/>
        <w:adjustRightInd/>
        <w:snapToGrid/>
        <w:spacing w:line="440" w:lineRule="exact"/>
        <w:textAlignment w:val="auto"/>
        <w:rPr>
          <w:rFonts w:ascii="仿宋" w:hAnsi="仿宋" w:eastAsia="仿宋" w:cs="仿宋"/>
        </w:rPr>
      </w:pPr>
    </w:p>
    <w:p>
      <w:pPr>
        <w:pStyle w:val="199"/>
        <w:pageBreakBefore w:val="0"/>
        <w:wordWrap/>
        <w:topLinePunct w:val="0"/>
        <w:autoSpaceDE/>
        <w:autoSpaceDN/>
        <w:bidi w:val="0"/>
        <w:adjustRightInd/>
        <w:snapToGrid/>
        <w:spacing w:line="440" w:lineRule="exact"/>
        <w:textAlignment w:val="auto"/>
        <w:rPr>
          <w:rFonts w:ascii="仿宋" w:hAnsi="仿宋" w:eastAsia="仿宋" w:cs="仿宋"/>
          <w:b/>
          <w:sz w:val="28"/>
          <w:szCs w:val="28"/>
        </w:rPr>
      </w:pPr>
      <w:r>
        <w:rPr>
          <w:rFonts w:hint="eastAsia" w:ascii="仿宋" w:hAnsi="仿宋" w:eastAsia="仿宋" w:cs="仿宋"/>
          <w:b/>
          <w:sz w:val="28"/>
          <w:szCs w:val="28"/>
        </w:rPr>
        <w:t>采购人：</w:t>
      </w:r>
    </w:p>
    <w:p>
      <w:pPr>
        <w:pStyle w:val="199"/>
        <w:pageBreakBefore w:val="0"/>
        <w:wordWrap/>
        <w:topLinePunct w:val="0"/>
        <w:autoSpaceDE/>
        <w:autoSpaceDN/>
        <w:bidi w:val="0"/>
        <w:adjustRightInd/>
        <w:snapToGrid/>
        <w:spacing w:line="440" w:lineRule="exact"/>
        <w:textAlignment w:val="auto"/>
        <w:rPr>
          <w:rFonts w:ascii="仿宋" w:hAnsi="仿宋" w:eastAsia="仿宋" w:cs="仿宋"/>
          <w:b/>
          <w:sz w:val="28"/>
          <w:szCs w:val="28"/>
        </w:rPr>
      </w:pPr>
      <w:r>
        <w:rPr>
          <w:rFonts w:hint="eastAsia" w:ascii="仿宋" w:hAnsi="仿宋" w:eastAsia="仿宋" w:cs="仿宋"/>
          <w:b/>
          <w:sz w:val="28"/>
          <w:szCs w:val="28"/>
        </w:rPr>
        <w:t>中标人：</w:t>
      </w:r>
    </w:p>
    <w:p>
      <w:pPr>
        <w:pStyle w:val="199"/>
        <w:pageBreakBefore w:val="0"/>
        <w:wordWrap/>
        <w:topLinePunct w:val="0"/>
        <w:autoSpaceDE/>
        <w:autoSpaceDN/>
        <w:bidi w:val="0"/>
        <w:adjustRightInd/>
        <w:snapToGrid/>
        <w:spacing w:line="440" w:lineRule="exact"/>
        <w:textAlignment w:val="auto"/>
        <w:rPr>
          <w:rFonts w:ascii="仿宋" w:hAnsi="仿宋" w:eastAsia="仿宋" w:cs="仿宋"/>
          <w:b/>
          <w:sz w:val="28"/>
          <w:szCs w:val="28"/>
        </w:rPr>
      </w:pPr>
      <w:r>
        <w:rPr>
          <w:rFonts w:hint="eastAsia" w:ascii="仿宋" w:hAnsi="仿宋" w:eastAsia="仿宋" w:cs="仿宋"/>
          <w:b/>
          <w:sz w:val="28"/>
          <w:szCs w:val="28"/>
        </w:rPr>
        <w:t>合同签订日期：   年   月   日</w:t>
      </w:r>
    </w:p>
    <w:p>
      <w:pPr>
        <w:pageBreakBefore w:val="0"/>
        <w:wordWrap/>
        <w:topLinePunct w:val="0"/>
        <w:autoSpaceDE/>
        <w:autoSpaceDN/>
        <w:bidi w:val="0"/>
        <w:adjustRightInd/>
        <w:snapToGrid/>
        <w:spacing w:line="440" w:lineRule="exact"/>
        <w:ind w:firstLine="562"/>
        <w:textAlignment w:val="auto"/>
        <w:rPr>
          <w:rFonts w:ascii="仿宋" w:hAnsi="仿宋" w:eastAsia="仿宋" w:cs="仿宋"/>
          <w:b/>
          <w:sz w:val="28"/>
          <w:szCs w:val="28"/>
        </w:rPr>
      </w:pPr>
      <w:r>
        <w:rPr>
          <w:rFonts w:hint="eastAsia" w:ascii="仿宋" w:hAnsi="仿宋" w:eastAsia="仿宋" w:cs="仿宋"/>
          <w:b/>
          <w:sz w:val="28"/>
          <w:szCs w:val="28"/>
        </w:rPr>
        <w:t>友情提醒：采购人与中标、成交供应商应当在中标、成交通知书发出之日起三十日内，按照采购文件确定的事项签订政府采购合同。</w:t>
      </w:r>
    </w:p>
    <w:p>
      <w:pPr>
        <w:pageBreakBefore w:val="0"/>
        <w:wordWrap/>
        <w:topLinePunct w:val="0"/>
        <w:autoSpaceDE/>
        <w:autoSpaceDN/>
        <w:bidi w:val="0"/>
        <w:adjustRightInd/>
        <w:snapToGrid/>
        <w:spacing w:line="440" w:lineRule="exact"/>
        <w:ind w:firstLine="562"/>
        <w:textAlignment w:val="auto"/>
        <w:rPr>
          <w:rFonts w:ascii="仿宋" w:hAnsi="仿宋" w:eastAsia="仿宋" w:cs="仿宋"/>
          <w:b/>
          <w:sz w:val="28"/>
          <w:szCs w:val="28"/>
        </w:rPr>
      </w:pPr>
      <w:r>
        <w:rPr>
          <w:rFonts w:hint="eastAsia" w:ascii="仿宋" w:hAnsi="仿宋" w:eastAsia="仿宋" w:cs="仿宋"/>
          <w:b/>
          <w:sz w:val="28"/>
          <w:szCs w:val="28"/>
        </w:rPr>
        <w:t>采购人应当自政府采购合同签订之日起2个工作日内，将政府采购合同在省级以上人民政府财政部门指定的媒体上公告，但政府采购合同中涉及国家秘密、商业秘密的内容除外。</w:t>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合同通用条款</w:t>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目录</w:t>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第一条    定义</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第二条    合同范围</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第三条    价格</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第四条    支付</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第五条    交货</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第六条    包装和标记</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第七条    技术资料</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第八条    调试</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第九条    验收</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第十条    售后服务和技术培训</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第十一条  索赔</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第十二条  不可抗力</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第十三条  合同的终止</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第十四条  争议的解决</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第十五条  适用法律</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第十六条  权利保证</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第十七条  保密</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第十八条  合同生效及其他</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合同通用条款</w:t>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第一条  定义</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除本合同上下文中另有规定外，下列各词语定义如下： </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1.1“买方”见《合同专用条款》。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1.2“卖方”见《合同专用条款》。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1.3“工作现场”见《合同专用条款》。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1.4“合同标的”见合同附件4。</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1.5“技术资料”是指与合同标的的试运行、验收、操作以及维修有关的技术指标、规格、图纸和文件。</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1.6“技术培训”是指在合同标的试运行、验收、操作、维修以及其他方面卖方给予买方的培训。</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1.7“调试”是指有关合同标的、备件和材料的调试工作。</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1.8“试运行”是指为验明合同标的的技术性能，在调试完毕后对合同标的进行的测试。</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1.9“验收”是指根据合同附件2的规定进行的，用以确定合同标的是否达到合同附件2 所规定的技术性能的检验，以及合同标的在达到合同附件2 规定的技术性能之后，买方对合同标的的接受。</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1.10“合同货币”见《合同专用条款》。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1.11“合同价格”见合同附件4。</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1.12“合同生效日”见《合同协议书》（合同附件1）第5 条。</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1.13“日”是指日历天数。</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1.14“月”是指日历月数。</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1.15“采购需求” 见合同附件6。</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第二条 合同范围</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2.1买方同意从卖方购买、卖方同意向买方出售和提供的合同标的以及相关售后服务、技术培训和技术资料。</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2.2数量：见招标文件第六章《采购需求》中“三、数量要求”。</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第三条 价格</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3.1 合同总价见《合同专用条款》。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3.2 合同总价是固定价格。</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第四条 支付（采购资金的支付方式、时间、条件）</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4.1买方应按照《合同专用条款》的规定进行支付。如果卖方未能按照《合同专用条款》的要求提交支付文件，由此产生的所有责任和发生的所有费用，均由卖方承担。</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4.2卖方有义务根据合同的规定向买方支付违约金和/或赔偿金时，买方有权从任何一笔应付款中予以扣除。</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第五条 交货（货物、服务提供的时间、地点、方式）</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5.1交货期限、批次和交货条件见《合同专用条款》。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strike/>
          <w:color w:val="000000"/>
          <w:sz w:val="28"/>
          <w:szCs w:val="28"/>
        </w:rPr>
      </w:pPr>
      <w:r>
        <w:rPr>
          <w:rFonts w:hint="eastAsia" w:ascii="仿宋" w:hAnsi="仿宋" w:eastAsia="仿宋" w:cs="仿宋"/>
          <w:color w:val="000000"/>
          <w:sz w:val="28"/>
          <w:szCs w:val="28"/>
        </w:rPr>
        <w:t>5.2交货地点见《合同专用条款》。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5.3在《合同专用条款》规定的期限内，卖方应将合同号、合同标的的名称、数量、金额、包装件数以及交货的时间以书面方式通知买方。</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5.4卖方应按下列规定交付合同标的：</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5.4.1卖方负责将合同标的送至《合同专用条款》规定的交货地点。</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5.4.2买方出具的收据日期是合同标的的实际交货日期。</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5.5如果卖方未能按照合同规定的交货期限交货，卖方应按《合同专用条款》的规定支付违约金或提供其他救济。</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第六条 包装与标记</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6.1除非合同中另有规定，合同标的应保持产品制造企业原包装完好。</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6.2在合同标的的每件包装中都应附有下列单据： </w:t>
      </w:r>
    </w:p>
    <w:p>
      <w:pPr>
        <w:pageBreakBefore w:val="0"/>
        <w:wordWrap/>
        <w:topLinePunct w:val="0"/>
        <w:autoSpaceDE/>
        <w:autoSpaceDN/>
        <w:bidi w:val="0"/>
        <w:adjustRightInd/>
        <w:snapToGrid/>
        <w:spacing w:line="440" w:lineRule="exact"/>
        <w:ind w:firstLine="480"/>
        <w:textAlignment w:val="auto"/>
        <w:rPr>
          <w:rFonts w:ascii="仿宋" w:hAnsi="仿宋" w:eastAsia="仿宋" w:cs="仿宋"/>
          <w:strike/>
          <w:color w:val="000000"/>
          <w:sz w:val="28"/>
          <w:szCs w:val="28"/>
        </w:rPr>
      </w:pPr>
      <w:r>
        <w:rPr>
          <w:rFonts w:hint="eastAsia" w:ascii="仿宋" w:hAnsi="仿宋" w:eastAsia="仿宋" w:cs="仿宋"/>
          <w:color w:val="000000"/>
          <w:sz w:val="28"/>
          <w:szCs w:val="28"/>
        </w:rPr>
        <w:t xml:space="preserve">A. 装箱明细单； </w:t>
      </w:r>
    </w:p>
    <w:p>
      <w:pPr>
        <w:pageBreakBefore w:val="0"/>
        <w:wordWrap/>
        <w:topLinePunct w:val="0"/>
        <w:autoSpaceDE/>
        <w:autoSpaceDN/>
        <w:bidi w:val="0"/>
        <w:adjustRightInd/>
        <w:snapToGrid/>
        <w:spacing w:line="440" w:lineRule="exact"/>
        <w:ind w:firstLine="480"/>
        <w:textAlignment w:val="auto"/>
        <w:rPr>
          <w:rFonts w:ascii="仿宋" w:hAnsi="仿宋" w:eastAsia="仿宋" w:cs="仿宋"/>
          <w:strike/>
          <w:color w:val="000000"/>
          <w:sz w:val="28"/>
          <w:szCs w:val="28"/>
        </w:rPr>
      </w:pPr>
      <w:r>
        <w:rPr>
          <w:rFonts w:hint="eastAsia" w:ascii="仿宋" w:hAnsi="仿宋" w:eastAsia="仿宋" w:cs="仿宋"/>
          <w:color w:val="000000"/>
          <w:sz w:val="28"/>
          <w:szCs w:val="28"/>
        </w:rPr>
        <w:t xml:space="preserve">B. 质量合格证； </w:t>
      </w:r>
    </w:p>
    <w:p>
      <w:pPr>
        <w:pageBreakBefore w:val="0"/>
        <w:wordWrap/>
        <w:topLinePunct w:val="0"/>
        <w:autoSpaceDE/>
        <w:autoSpaceDN/>
        <w:bidi w:val="0"/>
        <w:adjustRightInd/>
        <w:snapToGrid/>
        <w:spacing w:line="440" w:lineRule="exact"/>
        <w:ind w:firstLine="480"/>
        <w:textAlignment w:val="auto"/>
        <w:rPr>
          <w:rFonts w:ascii="仿宋" w:hAnsi="仿宋" w:eastAsia="仿宋" w:cs="仿宋"/>
          <w:strike/>
          <w:color w:val="000000"/>
          <w:sz w:val="28"/>
          <w:szCs w:val="28"/>
        </w:rPr>
      </w:pPr>
      <w:r>
        <w:rPr>
          <w:rFonts w:hint="eastAsia" w:ascii="仿宋" w:hAnsi="仿宋" w:eastAsia="仿宋" w:cs="仿宋"/>
          <w:color w:val="000000"/>
          <w:sz w:val="28"/>
          <w:szCs w:val="28"/>
        </w:rPr>
        <w:t>C. 技术资料。</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6.3凡由于对合同标的包装不当或采取防护措施不充分致使合同标的损坏或丢失时，卖方均应负责修理、更换或赔偿。如果因卖方在包装和标记方面发生的错误或混淆不清造成合同标的的误运，卖方应承担由此发生的额外费用。</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第七条 技术资料</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7.1 技术资料交付的期限和方式见《合同专用条款》。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第八条 调试</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8.1 合同标的的调试限见《合同专用条款》。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第九条 验收</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9.1合同标的的试运行、验收见《合同专用条款》。</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9.2如果合同附件2 所规定的所有技术性能在验收中都已经达到，双方应在验收合格后5 日内签署验收书。</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9.3验收标准（验收要求、验收标准和程序）：见合同附件5。</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第十条 售后服务和技术培训</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10.1售后服务和技术培训见合同附件3。</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第十一条 索赔</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11.1如果合同标的在试运行和验收中卖方未能履行其在本合同项下承担的义务，买方有权向卖方提出索赔并寻求《合同专用条款》中规定的救济方式，救济方式包括：</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A. 卖方替换不符合合同规定的合同标的。</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B. 按质量低劣的程度、买方受损害的程度及损失的数额对合同标的进行降价。</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C. 拒收合同标的。</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D. 赔偿由卖方违约引起的其他损失。</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11.2如果卖方在收到买方索赔要求后未在《合同专用条款》规定的期限内作出书面回复，该索赔要求将被视为已被卖方接受。如卖方未能在买方发出索赔要求后《合同专用条款》规定的期限内或买方同意的延长期限内，按照买方选择的救济方式解决索赔事宜，买方有权从合同总价中扣除索赔金额。</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第十二条 不可抗力</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12.1如果合同任何一方受诸如战争、严重的火灾、台风、地震、洪水以及任何其他不能预见、不能避免且不能克服的不可抗力事件的影响而无法履行合同项下的任何义务，受影响的一方应将此类事件的发生以书面方式通知另一方并应在不可抗力事件发生后14 日内将有关部门或机构出具的证明文件提交给另一方。</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12.2受不可抗力事件影响的合同一方对于不可抗力事件导致的任何合同义务的迟延履行或不能履行不承担责任。但该方应尽快以书面方式将不可抗力事件结束或其影响消除的情况通知另一方。</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12.3合同双方应在不可抗力事件结束或其影响消除后立即继续履行其合同义务，如果不可抗力事件的影响持续超过《合同专用条款》规定的期限，合同任何一方均有权发出书面通知终止合同。</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第十三条 合同的终止</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13.1如果卖方有下述违约行为之一或《合同专用条款》中规定的其他违约行为，在不妨碍买方采取其它救济手段的情况下，买方可以向卖方发出书面违约通知，全部或部分地终止合同。</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A. 卖方在合同规定的交货期限后未能按《合同专用条款》中规定的最终期限交付合同标的和/或技术资料； </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B. 合同标的未能达到合同附件2 规定的技术性能； </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C. 卖方未能履行合同项下任何其它义务，并且在收到买方违约通知后未能按《合同专用条款》中规定的期限对其违约行为作出补救。</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13.2如果一方破产或发生资不抵债的情况,合同另一方有权在任何时候发出书面通知终止合同。此种情况下合同的终止不妨碍或影响行使任何可能的其它救济手段。</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13.3如果买方认定卖方在投标或执行合同中有腐败或欺诈行为,买方有权在任何时候发出书面通知终止合同。</w:t>
      </w:r>
    </w:p>
    <w:p>
      <w:pPr>
        <w:pageBreakBefore w:val="0"/>
        <w:wordWrap/>
        <w:topLinePunct w:val="0"/>
        <w:autoSpaceDE/>
        <w:autoSpaceDN/>
        <w:bidi w:val="0"/>
        <w:adjustRightInd/>
        <w:snapToGrid/>
        <w:spacing w:line="440" w:lineRule="exact"/>
        <w:ind w:left="1" w:firstLine="537"/>
        <w:textAlignment w:val="auto"/>
        <w:rPr>
          <w:rFonts w:ascii="仿宋" w:hAnsi="仿宋" w:eastAsia="仿宋" w:cs="仿宋"/>
          <w:color w:val="000000"/>
          <w:sz w:val="28"/>
          <w:szCs w:val="28"/>
        </w:rPr>
      </w:pPr>
      <w:r>
        <w:rPr>
          <w:rFonts w:hint="eastAsia" w:ascii="仿宋" w:hAnsi="仿宋" w:eastAsia="仿宋" w:cs="仿宋"/>
          <w:color w:val="000000"/>
          <w:sz w:val="28"/>
          <w:szCs w:val="28"/>
        </w:rPr>
        <w:t>A.“腐败行为”系指在招标、采购和合同执行等过程中，为谋求利益、影响相关人员而提供、给予、接受或索取任何有价物的行为。</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B.“欺诈行为”系指为了影响招标、采购和合同执行等过程而隐瞒事实，从而给买方造成损害的行为，其中包括投标人之间的串通行为。</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13.4 在买方全部或部分终止合同的情况下，卖方应按《合同专用条款》的规定对买方给予补偿。</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第十四条 争议的解决</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14.1 因执行本合同所发生的或者与本合同有关的一切争议由合同双方通过友好协商解决，如果不能协商一致，按《合同专用条款》规定的方式解决。</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第十五条 适用法律</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15.1 本合同的执行和争议的解决适用中华人民共和国的法律并按中华人民共和国的法律进行解释。</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第十六条  权利保证</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16.1卖方应保证买方在使用合同标的时不受第三方提出侵犯其专利权、版权、商标权或其他权利的起诉。一旦出现侵权，卖方承担全部责任。</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第十七条  保密 </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17.1卖方在本合同履行的过程中，或为履行本合同的需要，从买方所获得的、有关买方和/或属于买方的任何信息包括买方工作方式方法与资料、技术资料、用户名单、发展战略及其他被认为是买方的信息，都是买方的秘密，卖方不得泄露给任何第三方。</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17.2上述秘密，卖方只能用于本合同，而且只能由卖方相应的人员使用；没有必要接触的卖方人员，不得接触。</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17.3卖方应当采取适当有效的方式保护所获取的上述秘密。</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17.4卖方违反本合同所规定的在保密方面的义务，应按合同总价的50%承担违约金或按照实际损失支付赔偿金；买方有权选择以上两种方式之一要求卖方承担违约责任。本违约金和赔偿金的支付义务独立于其它违约义务。</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第十八条 合同生效及其他</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18.1 本合同在合同协议书（合同附件1）规定的条件全部满足后生效。</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18.2合同项下全部权利义务履行完毕后，本合同自动失效。合同履行期满后，合同项下任何尚未了结的债权和债务不受合同履行期的影响，债务人仍应向债权人履行其义务。</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18.3 合同双方各自承担与本合同有关的应负税费。</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18.4合同双方除非《合同专用条款》另有规定，所有合同文件及相关的修订和合同双方之间的书面联络，应使用中文书就并按中文解释。</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18.5对本合同的任何补充、增添或修改以书面方式进行。</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18.6没有另一方的事先书面同意，合同任何一方不得将合同项下的任何权利和义务转让给第三方。</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18.7任何一方在执行任何合同条款和条件时准予对方的放松、宽容、延迟、放纵或时间，不得损害、影响或限制该方在合同之下的权利；任何一方对合同的任何违背、任何免责也不应导致对任何后面或延续的合同的免责或弃权。</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18.8合同条款中的标题和边注仅供参考使用，不应视为合同的一部分，也不影响本文的解释。</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18.9合同构成买方和卖方之间就合同主要内容方面的完整协议，并且取代合同签订前所有关于这方面的通讯、协商、协议(不论是书面的，还是口头的)。</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18.10买方应当自政府采购合同签订之日起2个工作日内，将政府采购合同在省级以上人民政府财政部门指定的媒体上公告，但政府采购合同中涉及国家秘密、商业秘密的内容除外。</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18.11合同双方之间的一切联络往来应以书面形式按《合同专用条款》中规定的通讯地址发往合同另一方。有关重要事项的传真应及时用挂号信或快件确认。</w:t>
      </w:r>
    </w:p>
    <w:p>
      <w:pPr>
        <w:pageBreakBefore w:val="0"/>
        <w:wordWrap/>
        <w:topLinePunct w:val="0"/>
        <w:autoSpaceDE/>
        <w:autoSpaceDN/>
        <w:bidi w:val="0"/>
        <w:adjustRightInd/>
        <w:snapToGrid/>
        <w:spacing w:line="440" w:lineRule="exact"/>
        <w:ind w:firstLine="600"/>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合同专用条款</w:t>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《合同专用条款》中的条款项号是与《合同通用条款》中的条款项号对应的，其增加的内容和条款，是对《合同通用条款》的补充、修改和完善，如果有矛盾的话，以《合同专用条款》为准。</w:t>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第一条 定义</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1.1 “买方”为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1.2 “卖方”为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1.3 “工作现场”为</w:t>
      </w:r>
      <w:r>
        <w:rPr>
          <w:rFonts w:hint="eastAsia" w:ascii="仿宋" w:hAnsi="仿宋" w:eastAsia="仿宋" w:cs="仿宋"/>
          <w:color w:val="000000"/>
          <w:sz w:val="28"/>
          <w:szCs w:val="28"/>
          <w:u w:val="single"/>
        </w:rPr>
        <w:t>买方指定地点</w:t>
      </w:r>
      <w:r>
        <w:rPr>
          <w:rFonts w:hint="eastAsia" w:ascii="仿宋" w:hAnsi="仿宋" w:eastAsia="仿宋" w:cs="仿宋"/>
          <w:color w:val="000000"/>
          <w:sz w:val="28"/>
          <w:szCs w:val="28"/>
        </w:rPr>
        <w:t>。</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1.10 “合同货币”即</w:t>
      </w:r>
      <w:r>
        <w:rPr>
          <w:rFonts w:hint="eastAsia" w:ascii="仿宋" w:hAnsi="仿宋" w:eastAsia="仿宋" w:cs="仿宋"/>
          <w:color w:val="000000"/>
          <w:sz w:val="28"/>
          <w:szCs w:val="28"/>
          <w:u w:val="single"/>
        </w:rPr>
        <w:t>人民币</w:t>
      </w:r>
      <w:r>
        <w:rPr>
          <w:rFonts w:hint="eastAsia" w:ascii="仿宋" w:hAnsi="仿宋" w:eastAsia="仿宋" w:cs="仿宋"/>
          <w:color w:val="000000"/>
          <w:sz w:val="28"/>
          <w:szCs w:val="28"/>
        </w:rPr>
        <w:t>。</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第二条 合同范围</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2.3买方同意从卖方购买、卖方同意向买方出售的合同标的是</w:t>
      </w:r>
      <w:r>
        <w:rPr>
          <w:rFonts w:hint="eastAsia" w:ascii="仿宋" w:hAnsi="仿宋" w:eastAsia="仿宋" w:cs="仿宋"/>
          <w:b/>
          <w:bCs/>
          <w:color w:val="000000"/>
          <w:sz w:val="28"/>
          <w:szCs w:val="28"/>
          <w:u w:val="single"/>
        </w:rPr>
        <w:t xml:space="preserve">     </w:t>
      </w:r>
      <w:r>
        <w:rPr>
          <w:rFonts w:hint="eastAsia" w:ascii="仿宋" w:hAnsi="仿宋" w:eastAsia="仿宋" w:cs="仿宋"/>
          <w:color w:val="000000"/>
          <w:sz w:val="28"/>
          <w:szCs w:val="28"/>
        </w:rPr>
        <w:t>。详见合同附件。</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第三条 价格</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3.1合同总价为￥大写</w:t>
      </w:r>
      <w:r>
        <w:rPr>
          <w:rFonts w:hint="eastAsia" w:ascii="仿宋" w:hAnsi="仿宋" w:eastAsia="仿宋" w:cs="仿宋"/>
          <w:color w:val="000000"/>
          <w:sz w:val="28"/>
          <w:szCs w:val="28"/>
          <w:u w:val="single"/>
        </w:rPr>
        <w:t>：   人民币</w:t>
      </w:r>
      <w:r>
        <w:rPr>
          <w:rFonts w:hint="eastAsia" w:ascii="仿宋" w:hAnsi="仿宋" w:eastAsia="仿宋" w:cs="仿宋"/>
          <w:color w:val="000000"/>
          <w:sz w:val="28"/>
          <w:szCs w:val="28"/>
        </w:rPr>
        <w:t>。</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3.2本合同为固定总价合同，项目实施过程中除采购人提出的变更要求外不增加任何费用，本合同总价中包含国家法律法规对设备、材料的检验、检测费用。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3.3 本合同价格为包括但不限于产品价、税费、包装费、运杂费、保险费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临时保险</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、调试费、买方操作及维护人员培训费、技术服务费等其它一切有可能产生或增加的费用。</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540"/>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第四条 支付（采购资金的支付方式、时间、条件）</w:t>
      </w:r>
    </w:p>
    <w:p>
      <w:pPr>
        <w:pageBreakBefore w:val="0"/>
        <w:wordWrap/>
        <w:topLinePunct w:val="0"/>
        <w:autoSpaceDE/>
        <w:autoSpaceDN/>
        <w:bidi w:val="0"/>
        <w:adjustRightInd/>
        <w:snapToGrid/>
        <w:spacing w:line="440" w:lineRule="exact"/>
        <w:ind w:firstLine="540"/>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本合同总金额为人民币大写金额</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元（小写金额：</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元）。</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付款条件：安装调试完成并验收合格后，财政资金拨付后支付货款95%，剩余5%质保期满后付清。</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卖方需提交的支付文件包括：</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2、</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4.4  合同约定的卖方账户：</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开户银行：</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银行帐号：</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第五条 交货（货物、服务提供的时间、地点、方式）</w:t>
      </w:r>
    </w:p>
    <w:p>
      <w:pPr>
        <w:pageBreakBefore w:val="0"/>
        <w:wordWrap/>
        <w:topLinePunct w:val="0"/>
        <w:autoSpaceDE/>
        <w:autoSpaceDN/>
        <w:bidi w:val="0"/>
        <w:adjustRightInd/>
        <w:snapToGrid/>
        <w:spacing w:line="440" w:lineRule="exact"/>
        <w:ind w:firstLine="542"/>
        <w:textAlignment w:val="auto"/>
        <w:rPr>
          <w:rFonts w:ascii="仿宋" w:hAnsi="仿宋" w:eastAsia="仿宋" w:cs="仿宋"/>
          <w:b/>
          <w:bCs/>
          <w:color w:val="000000"/>
          <w:sz w:val="28"/>
          <w:szCs w:val="28"/>
        </w:rPr>
      </w:pPr>
      <w:r>
        <w:rPr>
          <w:rFonts w:hint="eastAsia" w:ascii="仿宋" w:hAnsi="仿宋" w:eastAsia="仿宋" w:cs="仿宋"/>
          <w:b/>
          <w:bCs/>
          <w:color w:val="000000"/>
          <w:sz w:val="28"/>
          <w:szCs w:val="28"/>
        </w:rPr>
        <w:t>5.1卖方应于合同生效日后，</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日内将合同标的全部交付并调试完毕投入使用。</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5.2 交货地点为</w:t>
      </w:r>
      <w:r>
        <w:rPr>
          <w:rFonts w:hint="eastAsia" w:ascii="仿宋" w:hAnsi="仿宋" w:eastAsia="仿宋" w:cs="仿宋"/>
          <w:color w:val="000000"/>
          <w:sz w:val="28"/>
          <w:szCs w:val="28"/>
          <w:u w:val="single"/>
        </w:rPr>
        <w:t>买方指定地点</w:t>
      </w:r>
      <w:r>
        <w:rPr>
          <w:rFonts w:hint="eastAsia" w:ascii="仿宋" w:hAnsi="仿宋" w:eastAsia="仿宋" w:cs="仿宋"/>
          <w:color w:val="000000"/>
          <w:sz w:val="28"/>
          <w:szCs w:val="28"/>
        </w:rPr>
        <w:t>。</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5.3卖方应在不迟于每批合同标的备妥待运前</w:t>
      </w:r>
      <w:r>
        <w:rPr>
          <w:rFonts w:hint="eastAsia" w:ascii="仿宋" w:hAnsi="仿宋" w:eastAsia="仿宋" w:cs="仿宋"/>
          <w:color w:val="000000"/>
          <w:sz w:val="28"/>
          <w:szCs w:val="28"/>
          <w:u w:val="single"/>
        </w:rPr>
        <w:t xml:space="preserve">  10 </w:t>
      </w:r>
      <w:r>
        <w:rPr>
          <w:rFonts w:hint="eastAsia" w:ascii="仿宋" w:hAnsi="仿宋" w:eastAsia="仿宋" w:cs="仿宋"/>
          <w:color w:val="000000"/>
          <w:sz w:val="28"/>
          <w:szCs w:val="28"/>
        </w:rPr>
        <w:t>日通知买方。</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5.5如果卖方未能按照合同规定的交货期限交货，卖方应按每天迟交合同标的金额的千分之</w:t>
      </w:r>
      <w:r>
        <w:rPr>
          <w:rFonts w:hint="eastAsia" w:ascii="仿宋" w:hAnsi="仿宋" w:eastAsia="仿宋" w:cs="仿宋"/>
          <w:color w:val="000000"/>
          <w:sz w:val="28"/>
          <w:szCs w:val="28"/>
          <w:u w:val="single"/>
        </w:rPr>
        <w:t>一</w:t>
      </w: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1</w:t>
      </w:r>
      <w:r>
        <w:rPr>
          <w:rFonts w:hint="eastAsia" w:ascii="仿宋" w:hAnsi="仿宋" w:eastAsia="仿宋" w:cs="仿宋"/>
          <w:color w:val="000000"/>
          <w:sz w:val="28"/>
          <w:szCs w:val="28"/>
        </w:rPr>
        <w:t>‰)的比率支付违约金。违约金的总金额不超过合同总价的百分之</w:t>
      </w:r>
      <w:r>
        <w:rPr>
          <w:rFonts w:hint="eastAsia" w:ascii="仿宋" w:hAnsi="仿宋" w:eastAsia="仿宋" w:cs="仿宋"/>
          <w:color w:val="000000"/>
          <w:sz w:val="28"/>
          <w:szCs w:val="28"/>
          <w:u w:val="single"/>
        </w:rPr>
        <w:t>十</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10</w:t>
      </w:r>
      <w:r>
        <w:rPr>
          <w:rFonts w:hint="eastAsia" w:ascii="仿宋" w:hAnsi="仿宋" w:eastAsia="仿宋" w:cs="仿宋"/>
          <w:color w:val="000000"/>
          <w:sz w:val="28"/>
          <w:szCs w:val="28"/>
        </w:rPr>
        <w:t>%) ，违约金的支付不能免除卖方继续交付相关合同标的的义务。</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如果卖方在合同规定的交货期限后</w:t>
      </w:r>
      <w:r>
        <w:rPr>
          <w:rFonts w:hint="eastAsia" w:ascii="仿宋" w:hAnsi="仿宋" w:eastAsia="仿宋" w:cs="仿宋"/>
          <w:color w:val="000000"/>
          <w:sz w:val="28"/>
          <w:szCs w:val="28"/>
          <w:u w:val="single"/>
        </w:rPr>
        <w:t>十</w:t>
      </w:r>
      <w:r>
        <w:rPr>
          <w:rFonts w:hint="eastAsia" w:ascii="仿宋" w:hAnsi="仿宋" w:eastAsia="仿宋" w:cs="仿宋"/>
          <w:color w:val="000000"/>
          <w:sz w:val="28"/>
          <w:szCs w:val="28"/>
        </w:rPr>
        <w:t>日内仍未能交付全部或部分标的，在不妨碍买方采取其他救济手段的情况下，买方可以向卖方发出书面违约通知从而全部或部分地终止合同。</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第六条 包装与标记</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6.4 商品（合同标的）包装具体要求：见《关于印发《商品包装政府采购需求标准（试行）》、《快递包装政府采购需求标准（试行）》的通知》（财办库〔2020〕123号）中《商品包装政府采购需求标准（试行）》。</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6.5 快递包装具体要求：见《关于印发《商品包装政府采购需求标准（试行）》、 《快递包装政府采购需求标准（试行）》的通知》（财办库〔2020〕123号）中《快递包装政府采购需求标准（试行）》。</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第七条 技术资料</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7.1 技术资料随合同标的同时交付给买方。</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第八条 调试</w:t>
      </w:r>
    </w:p>
    <w:p>
      <w:pPr>
        <w:pageBreakBefore w:val="0"/>
        <w:wordWrap/>
        <w:topLinePunct w:val="0"/>
        <w:autoSpaceDE/>
        <w:autoSpaceDN/>
        <w:bidi w:val="0"/>
        <w:adjustRightInd/>
        <w:snapToGrid/>
        <w:spacing w:line="440" w:lineRule="exact"/>
        <w:ind w:firstLine="542"/>
        <w:textAlignment w:val="auto"/>
        <w:rPr>
          <w:rFonts w:ascii="仿宋" w:hAnsi="仿宋" w:eastAsia="仿宋" w:cs="仿宋"/>
          <w:color w:val="000000"/>
          <w:sz w:val="28"/>
          <w:szCs w:val="28"/>
        </w:rPr>
      </w:pPr>
      <w:r>
        <w:rPr>
          <w:rFonts w:hint="eastAsia" w:ascii="仿宋" w:hAnsi="仿宋" w:eastAsia="仿宋" w:cs="仿宋"/>
          <w:b/>
          <w:bCs/>
          <w:color w:val="000000"/>
          <w:sz w:val="28"/>
          <w:szCs w:val="28"/>
        </w:rPr>
        <w:t>8.1卖方应于合同生效日后，</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日内将合同标的调试完毕并投入使用。</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第九条 验收</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9.1 合同标的的试运行、验收应在卖方的协助下进行。合同标的全部交付并调试完毕后，卖方可向买方书面提出试运行、验收要求，买方在接到书面要求后</w:t>
      </w:r>
      <w:r>
        <w:rPr>
          <w:rFonts w:hint="eastAsia" w:ascii="仿宋" w:hAnsi="仿宋" w:eastAsia="仿宋" w:cs="仿宋"/>
          <w:color w:val="000000"/>
          <w:sz w:val="28"/>
          <w:szCs w:val="28"/>
          <w:u w:val="single"/>
        </w:rPr>
        <w:t xml:space="preserve">15 </w:t>
      </w:r>
      <w:r>
        <w:rPr>
          <w:rFonts w:hint="eastAsia" w:ascii="仿宋" w:hAnsi="仿宋" w:eastAsia="仿宋" w:cs="仿宋"/>
          <w:color w:val="000000"/>
          <w:sz w:val="28"/>
          <w:szCs w:val="28"/>
        </w:rPr>
        <w:t>日进行试运行、验收。如果试运行和/或验收因卖方原因发生迟延和/ 或在其它情况下发生额外费用，买方有权就因迟延发生的损害和损失和/或任何额外费用请求赔偿。</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9.2由买方进行评估和验收；经买方验收不合格的，卖方在接到买方通知后三日内整改，并保证再次验收合格。</w:t>
      </w:r>
      <w:r>
        <w:rPr>
          <w:rFonts w:hint="eastAsia" w:ascii="仿宋" w:hAnsi="仿宋" w:eastAsia="仿宋" w:cs="仿宋"/>
          <w:b/>
          <w:bCs/>
          <w:color w:val="000000"/>
          <w:sz w:val="28"/>
          <w:szCs w:val="28"/>
        </w:rPr>
        <w:t>如已超过</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天交货期限，</w:t>
      </w:r>
      <w:r>
        <w:rPr>
          <w:rFonts w:hint="eastAsia" w:ascii="仿宋" w:hAnsi="仿宋" w:eastAsia="仿宋" w:cs="仿宋"/>
          <w:color w:val="000000"/>
          <w:sz w:val="28"/>
          <w:szCs w:val="28"/>
        </w:rPr>
        <w:t>卖方每天应按合同标的金额的百分之一 (1%)的比率支付违约金。</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第十一条 索赔</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11.1买方有权选择本条款规定的任意或全部救济方式。</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11.2卖方应在收到买方索赔要求后14日内作出书面回复，否则该索赔要求将被视为已被卖方接受。卖方应在买方发出索赔要求后14日内，按照买方选择的救济方法解决索赔事宜。</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第十二条 不可抗力</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12.3 如果不可抗力事件的影响持续超过20日，合同任何一方均有权发出书面通知终止合同。</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第十三条 合同的终止</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13.1如果卖方有下述违约行为，买方可以全部或部分地终止合同：</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卖方在合同规定的交货期限后</w:t>
      </w:r>
      <w:r>
        <w:rPr>
          <w:rFonts w:hint="eastAsia" w:ascii="仿宋" w:hAnsi="仿宋" w:eastAsia="仿宋" w:cs="仿宋"/>
          <w:color w:val="000000"/>
          <w:sz w:val="28"/>
          <w:szCs w:val="28"/>
          <w:u w:val="single"/>
        </w:rPr>
        <w:t>10</w:t>
      </w:r>
      <w:r>
        <w:rPr>
          <w:rFonts w:hint="eastAsia" w:ascii="仿宋" w:hAnsi="仿宋" w:eastAsia="仿宋" w:cs="仿宋"/>
          <w:color w:val="000000"/>
          <w:sz w:val="28"/>
          <w:szCs w:val="28"/>
        </w:rPr>
        <w:t>日内仍未能交付合同标的或技术资料；或者卖方未能履行合同项下任何其它义务，并且在收到买方违约通知后</w:t>
      </w:r>
      <w:r>
        <w:rPr>
          <w:rFonts w:hint="eastAsia" w:ascii="仿宋" w:hAnsi="仿宋" w:eastAsia="仿宋" w:cs="仿宋"/>
          <w:color w:val="000000"/>
          <w:sz w:val="28"/>
          <w:szCs w:val="28"/>
          <w:u w:val="single"/>
        </w:rPr>
        <w:t>5</w:t>
      </w:r>
      <w:r>
        <w:rPr>
          <w:rFonts w:hint="eastAsia" w:ascii="仿宋" w:hAnsi="仿宋" w:eastAsia="仿宋" w:cs="仿宋"/>
          <w:color w:val="000000"/>
          <w:sz w:val="28"/>
          <w:szCs w:val="28"/>
        </w:rPr>
        <w:t>日内仍未能对其违约行为作出补救。</w:t>
      </w:r>
    </w:p>
    <w:p>
      <w:pPr>
        <w:pageBreakBefore w:val="0"/>
        <w:wordWrap/>
        <w:topLinePunct w:val="0"/>
        <w:autoSpaceDE/>
        <w:autoSpaceDN/>
        <w:bidi w:val="0"/>
        <w:adjustRightInd/>
        <w:snapToGrid/>
        <w:spacing w:line="440" w:lineRule="exact"/>
        <w:ind w:firstLine="540"/>
        <w:textAlignment w:val="auto"/>
        <w:rPr>
          <w:rFonts w:ascii="仿宋" w:hAnsi="仿宋" w:eastAsia="仿宋" w:cs="仿宋"/>
          <w:b/>
          <w:i/>
          <w:color w:val="000000"/>
          <w:sz w:val="28"/>
          <w:szCs w:val="28"/>
          <w:u w:val="single"/>
        </w:rPr>
      </w:pPr>
      <w:r>
        <w:rPr>
          <w:rFonts w:hint="eastAsia" w:ascii="仿宋" w:hAnsi="仿宋" w:eastAsia="仿宋" w:cs="仿宋"/>
          <w:color w:val="000000"/>
          <w:sz w:val="28"/>
          <w:szCs w:val="28"/>
        </w:rPr>
        <w:t>13.4 在买方全部或部分终止合同的情况下，买方可以以适当的条件取得与未按合同规定交付的标的和/或文件和/或未提供的服务类似的标的和/或文件和/或服务，卖方应承担买方由此发生的额外费用。但是，卖方仍应继续履行合同义务中没有终止的部分。</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第十四条 争议的解决</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14.1如果不能协商一致，合同任何一方有权向买方所在地人民法院提起诉讼。</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14.2买卖双方均应按约定内容严格履行合同，任何一方违约，应当向守约方承担违约责任，同时守约方有权要求违约方立即改正，拒不改正的，由违约方承担守约方因此而支付的包括但不限于诉讼费，律师费，咨询费，鉴定费，取证费等相关费用。</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第十八条 合同生效及其他</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18.10 按照《财政部关于做好政府采购信息公开工作的通知》（财库〔2015〕135号），买方依据《保守国家秘密法》等法律制度规定确定本合同部分涉及国家秘密，该涉及国家秘密部分不公告；买方依据《反不正当竞争法》等法律制度的规定与卖方约定本合同部分涉及商业秘密，该涉及商业秘密部分不公告。</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18.11 合同双方的通讯地址：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买方:</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邮编: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传真: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卖方: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邮编: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 xml:space="preserve">传真: </w:t>
      </w:r>
    </w:p>
    <w:p>
      <w:pPr>
        <w:pageBreakBefore w:val="0"/>
        <w:wordWrap/>
        <w:topLinePunct w:val="0"/>
        <w:autoSpaceDE/>
        <w:autoSpaceDN/>
        <w:bidi w:val="0"/>
        <w:adjustRightInd/>
        <w:snapToGrid/>
        <w:spacing w:line="440" w:lineRule="exact"/>
        <w:ind w:firstLine="540"/>
        <w:textAlignment w:val="auto"/>
        <w:rPr>
          <w:rFonts w:ascii="仿宋" w:hAnsi="仿宋" w:eastAsia="仿宋" w:cs="仿宋"/>
          <w:color w:val="000000"/>
          <w:sz w:val="28"/>
          <w:szCs w:val="28"/>
        </w:rPr>
      </w:pPr>
      <w:r>
        <w:rPr>
          <w:rFonts w:hint="eastAsia" w:ascii="仿宋" w:hAnsi="仿宋" w:eastAsia="仿宋" w:cs="仿宋"/>
          <w:color w:val="000000"/>
          <w:sz w:val="28"/>
          <w:szCs w:val="28"/>
        </w:rPr>
        <w:t>18.12因买方原因导致变更、中止或者终止政府采购合同的，买方对卖方受到的实际损失予以赔偿或者补偿。</w:t>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br w:type="page" w:clear="all"/>
      </w:r>
      <w:r>
        <w:rPr>
          <w:rFonts w:hint="eastAsia" w:ascii="仿宋" w:hAnsi="仿宋" w:eastAsia="仿宋" w:cs="仿宋"/>
          <w:b/>
          <w:bCs/>
          <w:color w:val="000000"/>
          <w:sz w:val="28"/>
          <w:szCs w:val="28"/>
        </w:rPr>
        <w:t>合同附件</w:t>
      </w:r>
    </w:p>
    <w:p>
      <w:pPr>
        <w:pageBreakBefore w:val="0"/>
        <w:tabs>
          <w:tab w:val="left" w:pos="7506"/>
        </w:tabs>
        <w:wordWrap/>
        <w:topLinePunct w:val="0"/>
        <w:autoSpaceDE/>
        <w:autoSpaceDN/>
        <w:bidi w:val="0"/>
        <w:adjustRightInd/>
        <w:snapToGrid/>
        <w:spacing w:line="440" w:lineRule="exact"/>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ab/>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r>
        <w:rPr>
          <w:rFonts w:hint="eastAsia" w:ascii="仿宋" w:hAnsi="仿宋" w:eastAsia="仿宋" w:cs="仿宋"/>
          <w:color w:val="000000"/>
          <w:sz w:val="28"/>
          <w:szCs w:val="28"/>
        </w:rPr>
        <w:t>目录</w:t>
      </w:r>
    </w:p>
    <w:p>
      <w:pPr>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合同附件1：合同协议书</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合同附件2：技术规格和技术性能</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(要求见招标文件第六章《采购需求》。)</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合同附件3：售后服务</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(要求见招标文件第六章《采购需求》；合同见卖方投标文件中</w:t>
      </w:r>
      <w:r>
        <w:rPr>
          <w:rFonts w:hint="eastAsia" w:ascii="仿宋" w:hAnsi="仿宋" w:eastAsia="仿宋" w:cs="仿宋"/>
          <w:b/>
          <w:bCs/>
          <w:color w:val="000000"/>
          <w:sz w:val="28"/>
          <w:szCs w:val="28"/>
        </w:rPr>
        <w:t>《售后服务方案》。)</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合同附件4：供货范围和价格清单</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(要求见招标文件第七章《投标文件相关格式》中《开标一览表》和《分项价格表》；合同见卖方投标文件中《开标一览表》和《分项价格表》。)</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合同附件5：验收标准（验收要求、验收标准和程序）</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合同附件6：采购需求</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color w:val="000000"/>
          <w:sz w:val="28"/>
          <w:szCs w:val="28"/>
        </w:rPr>
        <w:t>(见招标文件第六章《采购需求》。)</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Style w:val="46"/>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5"/>
        <w:pageBreakBefore w:val="0"/>
        <w:wordWrap/>
        <w:topLinePunct w:val="0"/>
        <w:autoSpaceDE/>
        <w:autoSpaceDN/>
        <w:bidi w:val="0"/>
        <w:adjustRightInd/>
        <w:snapToGrid/>
        <w:spacing w:line="440" w:lineRule="exact"/>
        <w:textAlignment w:val="auto"/>
        <w:rPr>
          <w:rFonts w:ascii="仿宋" w:hAnsi="仿宋" w:eastAsia="仿宋" w:cs="仿宋"/>
        </w:rPr>
      </w:pPr>
    </w:p>
    <w:p>
      <w:pPr>
        <w:pStyle w:val="41"/>
        <w:pageBreakBefore w:val="0"/>
        <w:wordWrap/>
        <w:topLinePunct w:val="0"/>
        <w:autoSpaceDE/>
        <w:autoSpaceDN/>
        <w:bidi w:val="0"/>
        <w:adjustRightInd/>
        <w:snapToGrid/>
        <w:spacing w:line="440" w:lineRule="exact"/>
        <w:textAlignment w:val="auto"/>
        <w:rPr>
          <w:rFonts w:ascii="仿宋" w:hAnsi="仿宋" w:eastAsia="仿宋" w:cs="仿宋"/>
        </w:rPr>
      </w:pPr>
    </w:p>
    <w:p>
      <w:pPr>
        <w:pStyle w:val="40"/>
        <w:pageBreakBefore w:val="0"/>
        <w:wordWrap/>
        <w:topLinePunct w:val="0"/>
        <w:autoSpaceDE/>
        <w:autoSpaceDN/>
        <w:bidi w:val="0"/>
        <w:adjustRightInd/>
        <w:snapToGrid/>
        <w:spacing w:line="440" w:lineRule="exact"/>
        <w:textAlignment w:val="auto"/>
        <w:rPr>
          <w:rFonts w:ascii="仿宋" w:hAnsi="仿宋" w:eastAsia="仿宋" w:cs="仿宋"/>
        </w:rPr>
      </w:pPr>
    </w:p>
    <w:p>
      <w:pPr>
        <w:pStyle w:val="41"/>
        <w:pageBreakBefore w:val="0"/>
        <w:wordWrap/>
        <w:topLinePunct w:val="0"/>
        <w:autoSpaceDE/>
        <w:autoSpaceDN/>
        <w:bidi w:val="0"/>
        <w:adjustRightInd/>
        <w:snapToGrid/>
        <w:spacing w:line="440" w:lineRule="exact"/>
        <w:textAlignment w:val="auto"/>
        <w:rPr>
          <w:rFonts w:ascii="仿宋" w:hAnsi="仿宋" w:eastAsia="仿宋" w:cs="仿宋"/>
        </w:rPr>
      </w:pPr>
    </w:p>
    <w:p>
      <w:pPr>
        <w:pStyle w:val="40"/>
        <w:pageBreakBefore w:val="0"/>
        <w:wordWrap/>
        <w:topLinePunct w:val="0"/>
        <w:autoSpaceDE/>
        <w:autoSpaceDN/>
        <w:bidi w:val="0"/>
        <w:adjustRightInd/>
        <w:snapToGrid/>
        <w:spacing w:line="440" w:lineRule="exact"/>
        <w:textAlignment w:val="auto"/>
        <w:rPr>
          <w:rFonts w:ascii="仿宋" w:hAnsi="仿宋" w:eastAsia="仿宋" w:cs="仿宋"/>
        </w:rPr>
      </w:pPr>
    </w:p>
    <w:p>
      <w:pPr>
        <w:pStyle w:val="46"/>
        <w:pageBreakBefore w:val="0"/>
        <w:wordWrap/>
        <w:topLinePunct w:val="0"/>
        <w:autoSpaceDE/>
        <w:autoSpaceDN/>
        <w:bidi w:val="0"/>
        <w:adjustRightInd/>
        <w:snapToGrid/>
        <w:spacing w:line="440" w:lineRule="exact"/>
        <w:textAlignment w:val="auto"/>
      </w:pPr>
    </w:p>
    <w:p>
      <w:pPr>
        <w:pageBreakBefore w:val="0"/>
        <w:wordWrap/>
        <w:topLinePunct w:val="0"/>
        <w:autoSpaceDE/>
        <w:autoSpaceDN/>
        <w:bidi w:val="0"/>
        <w:adjustRightInd/>
        <w:snapToGrid/>
        <w:spacing w:line="440" w:lineRule="exact"/>
        <w:textAlignment w:val="auto"/>
        <w:rPr>
          <w:rFonts w:ascii="仿宋" w:hAnsi="仿宋" w:eastAsia="仿宋" w:cs="仿宋"/>
        </w:rPr>
      </w:pPr>
      <w:r>
        <w:rPr>
          <w:rFonts w:hint="eastAsia" w:ascii="仿宋" w:hAnsi="仿宋" w:eastAsia="仿宋" w:cs="仿宋"/>
        </w:rPr>
        <w:br w:type="page"/>
      </w:r>
    </w:p>
    <w:p>
      <w:pPr>
        <w:pStyle w:val="215"/>
        <w:pageBreakBefore w:val="0"/>
        <w:wordWrap/>
        <w:topLinePunct w:val="0"/>
        <w:autoSpaceDE/>
        <w:autoSpaceDN/>
        <w:bidi w:val="0"/>
        <w:adjustRightInd/>
        <w:snapToGrid/>
        <w:spacing w:line="440" w:lineRule="exact"/>
        <w:textAlignment w:val="auto"/>
        <w:rPr>
          <w:rFonts w:ascii="仿宋" w:hAnsi="仿宋" w:eastAsia="仿宋" w:cs="仿宋"/>
        </w:rPr>
      </w:pPr>
      <w:r>
        <w:rPr>
          <w:rFonts w:hint="eastAsia" w:ascii="仿宋" w:hAnsi="仿宋" w:eastAsia="仿宋" w:cs="仿宋"/>
        </w:rPr>
        <w:t>第六章  采购需求</w:t>
      </w:r>
      <w:bookmarkEnd w:id="21"/>
      <w:bookmarkEnd w:id="22"/>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b/>
          <w:bCs/>
          <w:sz w:val="28"/>
          <w:szCs w:val="28"/>
        </w:rPr>
      </w:pPr>
      <w:r>
        <w:rPr>
          <w:rFonts w:hint="eastAsia" w:ascii="仿宋" w:hAnsi="仿宋" w:eastAsia="仿宋" w:cs="仿宋"/>
          <w:b/>
          <w:bCs/>
          <w:sz w:val="28"/>
          <w:szCs w:val="28"/>
        </w:rPr>
        <w:t>一、说明</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sz w:val="28"/>
          <w:szCs w:val="28"/>
        </w:rPr>
      </w:pPr>
      <w:r>
        <w:rPr>
          <w:rFonts w:hint="eastAsia" w:ascii="仿宋" w:hAnsi="仿宋" w:eastAsia="仿宋" w:cs="仿宋"/>
          <w:sz w:val="28"/>
          <w:szCs w:val="28"/>
        </w:rPr>
        <w:t>1.采购人：新沂市环境卫生管理处</w:t>
      </w:r>
    </w:p>
    <w:p>
      <w:pPr>
        <w:pStyle w:val="43"/>
        <w:pageBreakBefore w:val="0"/>
        <w:wordWrap/>
        <w:topLinePunct w:val="0"/>
        <w:autoSpaceDE/>
        <w:autoSpaceDN/>
        <w:bidi w:val="0"/>
        <w:adjustRightInd/>
        <w:snapToGrid/>
        <w:spacing w:line="440" w:lineRule="exact"/>
        <w:ind w:firstLine="601"/>
        <w:textAlignment w:val="auto"/>
      </w:pPr>
      <w:r>
        <w:rPr>
          <w:rFonts w:hint="eastAsia" w:ascii="仿宋" w:hAnsi="仿宋" w:eastAsia="仿宋" w:cs="仿宋"/>
          <w:sz w:val="28"/>
          <w:szCs w:val="28"/>
        </w:rPr>
        <w:t>2.采购项目名称：新沂市城市“绿岛”项目环卫特种作业车辆采购项目</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sz w:val="28"/>
          <w:szCs w:val="28"/>
        </w:rPr>
      </w:pPr>
      <w:r>
        <w:rPr>
          <w:rFonts w:hint="eastAsia" w:ascii="仿宋" w:hAnsi="仿宋" w:eastAsia="仿宋" w:cs="仿宋"/>
          <w:sz w:val="28"/>
          <w:szCs w:val="28"/>
        </w:rPr>
        <w:t>3.供货地点:采购人指定地点</w:t>
      </w:r>
    </w:p>
    <w:p>
      <w:pPr>
        <w:pStyle w:val="43"/>
        <w:pageBreakBefore w:val="0"/>
        <w:wordWrap/>
        <w:topLinePunct w:val="0"/>
        <w:autoSpaceDE/>
        <w:autoSpaceDN/>
        <w:bidi w:val="0"/>
        <w:adjustRightInd/>
        <w:snapToGrid/>
        <w:spacing w:line="440" w:lineRule="exact"/>
        <w:ind w:firstLine="601"/>
        <w:textAlignment w:val="auto"/>
      </w:pPr>
      <w:r>
        <w:rPr>
          <w:rFonts w:hint="eastAsia" w:ascii="仿宋" w:hAnsi="仿宋" w:eastAsia="仿宋" w:cs="仿宋"/>
          <w:sz w:val="28"/>
          <w:szCs w:val="28"/>
        </w:rPr>
        <w:t>4.供货期限:合同签订后30日历天内将货物送至采购人指定地点并安装调试到位。</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sz w:val="28"/>
          <w:szCs w:val="28"/>
        </w:rPr>
      </w:pPr>
      <w:r>
        <w:rPr>
          <w:rFonts w:hint="eastAsia" w:ascii="仿宋" w:hAnsi="仿宋" w:eastAsia="仿宋" w:cs="仿宋"/>
          <w:sz w:val="28"/>
          <w:szCs w:val="28"/>
        </w:rPr>
        <w:t>新沂市城市“绿岛”项目环卫特种作业车辆采购项目对应的中小企业划分标准所属行业为工业。</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sz w:val="28"/>
          <w:szCs w:val="28"/>
        </w:rPr>
      </w:pPr>
      <w:r>
        <w:rPr>
          <w:rFonts w:hint="eastAsia" w:ascii="仿宋" w:hAnsi="仿宋" w:eastAsia="仿宋" w:cs="仿宋"/>
          <w:sz w:val="28"/>
          <w:szCs w:val="28"/>
        </w:rPr>
        <w:t>注：中小企业划分标准所属行业以《工业和信息化部、国家统计局、国家发展和改革委员会、财政部关于印发中小企业划型标准规定的通知》（工信部联企业[2011]300号）的规定为准。</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sz w:val="28"/>
          <w:szCs w:val="28"/>
        </w:rPr>
      </w:pPr>
      <w:r>
        <w:rPr>
          <w:rFonts w:hint="eastAsia" w:ascii="仿宋" w:hAnsi="仿宋" w:eastAsia="仿宋" w:cs="仿宋"/>
          <w:sz w:val="28"/>
          <w:szCs w:val="28"/>
        </w:rPr>
        <w:t>5.本项目采购的是非进口产品。</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b/>
          <w:bCs/>
          <w:sz w:val="28"/>
          <w:szCs w:val="28"/>
        </w:rPr>
      </w:pPr>
      <w:r>
        <w:rPr>
          <w:rFonts w:hint="eastAsia" w:ascii="仿宋" w:hAnsi="仿宋" w:eastAsia="仿宋" w:cs="仿宋"/>
          <w:sz w:val="28"/>
          <w:szCs w:val="28"/>
        </w:rPr>
        <w:t>6.本项目不属于专门面向中小企业采购的项目。</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b/>
          <w:bCs/>
          <w:sz w:val="28"/>
          <w:szCs w:val="28"/>
        </w:rPr>
      </w:pPr>
      <w:r>
        <w:rPr>
          <w:rFonts w:hint="eastAsia" w:ascii="仿宋" w:hAnsi="仿宋" w:eastAsia="仿宋" w:cs="仿宋"/>
          <w:b/>
          <w:bCs/>
          <w:sz w:val="28"/>
          <w:szCs w:val="28"/>
        </w:rPr>
        <w:t>二、采购项目预算金额</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sz w:val="28"/>
          <w:szCs w:val="28"/>
        </w:rPr>
      </w:pPr>
      <w:r>
        <w:rPr>
          <w:rFonts w:hint="eastAsia" w:ascii="仿宋" w:hAnsi="仿宋" w:eastAsia="仿宋" w:cs="仿宋"/>
          <w:bCs/>
          <w:sz w:val="28"/>
          <w:szCs w:val="28"/>
        </w:rPr>
        <w:t>本项目不接受超过240.00万元人民币（采购项目预算金额）的投标报价。</w:t>
      </w:r>
      <w:r>
        <w:rPr>
          <w:rFonts w:hint="eastAsia" w:ascii="仿宋" w:hAnsi="仿宋" w:eastAsia="仿宋" w:cs="仿宋"/>
          <w:sz w:val="28"/>
          <w:szCs w:val="28"/>
        </w:rPr>
        <w:t>（报价包括产品价、税金、运费、安装调试</w:t>
      </w:r>
      <w:r>
        <w:rPr>
          <w:rFonts w:hint="eastAsia" w:ascii="仿宋" w:hAnsi="仿宋" w:eastAsia="仿宋" w:cs="仿宋"/>
          <w:bCs/>
          <w:sz w:val="28"/>
          <w:szCs w:val="28"/>
        </w:rPr>
        <w:t>）</w:t>
      </w:r>
      <w:r>
        <w:rPr>
          <w:rFonts w:hint="eastAsia" w:ascii="仿宋" w:hAnsi="仿宋" w:eastAsia="仿宋" w:cs="仿宋"/>
          <w:sz w:val="28"/>
          <w:szCs w:val="28"/>
        </w:rPr>
        <w:t>。采购人不再支付报价以外的任何费用。）</w:t>
      </w:r>
    </w:p>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b/>
          <w:bCs/>
          <w:sz w:val="28"/>
          <w:szCs w:val="28"/>
        </w:rPr>
      </w:pPr>
      <w:r>
        <w:rPr>
          <w:rFonts w:hint="eastAsia" w:ascii="仿宋" w:hAnsi="仿宋" w:eastAsia="仿宋" w:cs="仿宋"/>
          <w:b/>
          <w:bCs/>
          <w:sz w:val="28"/>
          <w:szCs w:val="28"/>
        </w:rPr>
        <w:t>三、采购清单</w:t>
      </w:r>
    </w:p>
    <w:tbl>
      <w:tblPr>
        <w:tblStyle w:val="34"/>
        <w:tblW w:w="85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2655"/>
        <w:gridCol w:w="1127"/>
        <w:gridCol w:w="1513"/>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972"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序号</w:t>
            </w:r>
          </w:p>
        </w:tc>
        <w:tc>
          <w:tcPr>
            <w:tcW w:w="2655"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名称</w:t>
            </w:r>
          </w:p>
        </w:tc>
        <w:tc>
          <w:tcPr>
            <w:tcW w:w="1127"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单位</w:t>
            </w:r>
          </w:p>
        </w:tc>
        <w:tc>
          <w:tcPr>
            <w:tcW w:w="1513"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数量</w:t>
            </w:r>
          </w:p>
        </w:tc>
        <w:tc>
          <w:tcPr>
            <w:tcW w:w="2280"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jc w:val="center"/>
        </w:trPr>
        <w:tc>
          <w:tcPr>
            <w:tcW w:w="972"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2655" w:type="dxa"/>
            <w:shd w:val="clear" w:color="auto" w:fill="auto"/>
            <w:vAlign w:val="center"/>
          </w:tcPr>
          <w:p>
            <w:pPr>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b/>
                <w:color w:val="000000"/>
                <w:sz w:val="28"/>
                <w:szCs w:val="28"/>
              </w:rPr>
              <w:t>18吨燃油多功能抑尘车</w:t>
            </w:r>
          </w:p>
        </w:tc>
        <w:tc>
          <w:tcPr>
            <w:tcW w:w="1127"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台</w:t>
            </w:r>
          </w:p>
        </w:tc>
        <w:tc>
          <w:tcPr>
            <w:tcW w:w="1513"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2280" w:type="dxa"/>
            <w:vMerge w:val="restart"/>
            <w:shd w:val="clear" w:color="auto" w:fill="auto"/>
            <w:vAlign w:val="center"/>
          </w:tcPr>
          <w:p>
            <w:pPr>
              <w:pageBreakBefore w:val="0"/>
              <w:wordWrap/>
              <w:topLinePunct w:val="0"/>
              <w:autoSpaceDE/>
              <w:autoSpaceDN/>
              <w:bidi w:val="0"/>
              <w:adjustRightInd/>
              <w:snapToGrid/>
              <w:spacing w:line="440" w:lineRule="exact"/>
              <w:jc w:val="left"/>
              <w:textAlignment w:val="auto"/>
              <w:rPr>
                <w:rFonts w:ascii="仿宋" w:hAnsi="仿宋" w:eastAsia="仿宋" w:cs="仿宋"/>
                <w:sz w:val="28"/>
                <w:szCs w:val="28"/>
              </w:rPr>
            </w:pPr>
            <w:r>
              <w:rPr>
                <w:rFonts w:hint="eastAsia" w:ascii="仿宋" w:hAnsi="仿宋" w:eastAsia="仿宋" w:cs="仿宋"/>
                <w:sz w:val="28"/>
                <w:szCs w:val="28"/>
              </w:rPr>
              <w:t>详见采购需求：技术参数要求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972"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2655" w:type="dxa"/>
            <w:shd w:val="clear" w:color="auto" w:fill="auto"/>
            <w:vAlign w:val="center"/>
          </w:tcPr>
          <w:p>
            <w:pPr>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b/>
                <w:color w:val="000000"/>
                <w:sz w:val="28"/>
                <w:szCs w:val="28"/>
              </w:rPr>
              <w:t>18吨燃油洒水车</w:t>
            </w:r>
          </w:p>
        </w:tc>
        <w:tc>
          <w:tcPr>
            <w:tcW w:w="1127"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台</w:t>
            </w:r>
          </w:p>
        </w:tc>
        <w:tc>
          <w:tcPr>
            <w:tcW w:w="1513"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2280" w:type="dxa"/>
            <w:vMerge w:val="continue"/>
            <w:shd w:val="clear" w:color="auto" w:fill="auto"/>
            <w:vAlign w:val="center"/>
          </w:tcPr>
          <w:p>
            <w:pPr>
              <w:pageBreakBefore w:val="0"/>
              <w:wordWrap/>
              <w:topLinePunct w:val="0"/>
              <w:autoSpaceDE/>
              <w:autoSpaceDN/>
              <w:bidi w:val="0"/>
              <w:adjustRightInd/>
              <w:snapToGrid/>
              <w:spacing w:line="440" w:lineRule="exact"/>
              <w:jc w:val="left"/>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972"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kern w:val="2"/>
                <w:sz w:val="28"/>
                <w:szCs w:val="28"/>
              </w:rPr>
            </w:pPr>
            <w:r>
              <w:rPr>
                <w:rFonts w:hint="eastAsia" w:ascii="仿宋" w:hAnsi="仿宋" w:eastAsia="仿宋" w:cs="仿宋"/>
                <w:sz w:val="28"/>
                <w:szCs w:val="28"/>
              </w:rPr>
              <w:t>3</w:t>
            </w:r>
          </w:p>
        </w:tc>
        <w:tc>
          <w:tcPr>
            <w:tcW w:w="2655" w:type="dxa"/>
            <w:shd w:val="clear" w:color="auto" w:fill="auto"/>
            <w:vAlign w:val="center"/>
          </w:tcPr>
          <w:p>
            <w:pPr>
              <w:pageBreakBefore w:val="0"/>
              <w:wordWrap/>
              <w:topLinePunct w:val="0"/>
              <w:autoSpaceDE/>
              <w:autoSpaceDN/>
              <w:bidi w:val="0"/>
              <w:adjustRightInd/>
              <w:snapToGrid/>
              <w:spacing w:line="440" w:lineRule="exact"/>
              <w:textAlignment w:val="auto"/>
              <w:rPr>
                <w:rFonts w:ascii="仿宋" w:hAnsi="仿宋" w:eastAsia="仿宋" w:cs="仿宋"/>
                <w:kern w:val="2"/>
                <w:sz w:val="28"/>
                <w:szCs w:val="28"/>
              </w:rPr>
            </w:pPr>
            <w:r>
              <w:rPr>
                <w:rFonts w:hint="eastAsia" w:ascii="仿宋" w:hAnsi="仿宋" w:eastAsia="仿宋" w:cs="仿宋"/>
                <w:b/>
                <w:color w:val="000000"/>
                <w:sz w:val="28"/>
                <w:szCs w:val="28"/>
              </w:rPr>
              <w:t>18吨燃油洗扫车</w:t>
            </w:r>
          </w:p>
        </w:tc>
        <w:tc>
          <w:tcPr>
            <w:tcW w:w="1127"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台</w:t>
            </w:r>
          </w:p>
        </w:tc>
        <w:tc>
          <w:tcPr>
            <w:tcW w:w="1513"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2280" w:type="dxa"/>
            <w:vMerge w:val="continue"/>
            <w:shd w:val="clear" w:color="auto" w:fill="auto"/>
            <w:vAlign w:val="center"/>
          </w:tcPr>
          <w:p>
            <w:pPr>
              <w:pageBreakBefore w:val="0"/>
              <w:wordWrap/>
              <w:topLinePunct w:val="0"/>
              <w:autoSpaceDE/>
              <w:autoSpaceDN/>
              <w:bidi w:val="0"/>
              <w:adjustRightInd/>
              <w:snapToGrid/>
              <w:spacing w:line="440" w:lineRule="exact"/>
              <w:jc w:val="left"/>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972"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4</w:t>
            </w:r>
          </w:p>
        </w:tc>
        <w:tc>
          <w:tcPr>
            <w:tcW w:w="2655" w:type="dxa"/>
            <w:shd w:val="clear" w:color="auto" w:fill="auto"/>
            <w:vAlign w:val="center"/>
          </w:tcPr>
          <w:p>
            <w:pPr>
              <w:pageBreakBefore w:val="0"/>
              <w:wordWrap/>
              <w:topLinePunct w:val="0"/>
              <w:autoSpaceDE/>
              <w:autoSpaceDN/>
              <w:bidi w:val="0"/>
              <w:adjustRightInd/>
              <w:snapToGrid/>
              <w:spacing w:line="440" w:lineRule="exact"/>
              <w:textAlignment w:val="auto"/>
              <w:rPr>
                <w:rFonts w:ascii="仿宋" w:hAnsi="仿宋" w:eastAsia="仿宋" w:cs="仿宋"/>
                <w:kern w:val="2"/>
                <w:sz w:val="28"/>
                <w:szCs w:val="28"/>
              </w:rPr>
            </w:pPr>
            <w:bookmarkStart w:id="29" w:name="OLE_LINK4"/>
            <w:r>
              <w:rPr>
                <w:rFonts w:hint="eastAsia" w:ascii="仿宋" w:hAnsi="仿宋" w:eastAsia="仿宋" w:cs="仿宋"/>
                <w:b/>
                <w:bCs/>
                <w:iCs/>
                <w:sz w:val="28"/>
                <w:szCs w:val="28"/>
              </w:rPr>
              <w:t>4吨新能源洗扫车</w:t>
            </w:r>
            <w:bookmarkEnd w:id="29"/>
          </w:p>
        </w:tc>
        <w:tc>
          <w:tcPr>
            <w:tcW w:w="1127"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台</w:t>
            </w:r>
          </w:p>
        </w:tc>
        <w:tc>
          <w:tcPr>
            <w:tcW w:w="1513"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2280" w:type="dxa"/>
            <w:vMerge w:val="continue"/>
            <w:shd w:val="clear" w:color="auto" w:fill="auto"/>
            <w:vAlign w:val="center"/>
          </w:tcPr>
          <w:p>
            <w:pPr>
              <w:pageBreakBefore w:val="0"/>
              <w:wordWrap/>
              <w:topLinePunct w:val="0"/>
              <w:autoSpaceDE/>
              <w:autoSpaceDN/>
              <w:bidi w:val="0"/>
              <w:adjustRightInd/>
              <w:snapToGrid/>
              <w:spacing w:line="440" w:lineRule="exact"/>
              <w:jc w:val="left"/>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jc w:val="center"/>
        </w:trPr>
        <w:tc>
          <w:tcPr>
            <w:tcW w:w="3627" w:type="dxa"/>
            <w:gridSpan w:val="2"/>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合计</w:t>
            </w:r>
          </w:p>
        </w:tc>
        <w:tc>
          <w:tcPr>
            <w:tcW w:w="1127"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台</w:t>
            </w:r>
          </w:p>
        </w:tc>
        <w:tc>
          <w:tcPr>
            <w:tcW w:w="1513" w:type="dxa"/>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5</w:t>
            </w:r>
          </w:p>
        </w:tc>
        <w:tc>
          <w:tcPr>
            <w:tcW w:w="2280" w:type="dxa"/>
            <w:vMerge w:val="continue"/>
            <w:shd w:val="clear" w:color="auto" w:fill="auto"/>
            <w:vAlign w:val="center"/>
          </w:tcPr>
          <w:p>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r>
    </w:tbl>
    <w:p>
      <w:pPr>
        <w:pStyle w:val="43"/>
        <w:pageBreakBefore w:val="0"/>
        <w:wordWrap/>
        <w:topLinePunct w:val="0"/>
        <w:autoSpaceDE/>
        <w:autoSpaceDN/>
        <w:bidi w:val="0"/>
        <w:adjustRightInd/>
        <w:snapToGrid/>
        <w:spacing w:line="440" w:lineRule="exact"/>
        <w:ind w:firstLine="601"/>
        <w:textAlignment w:val="auto"/>
        <w:rPr>
          <w:rFonts w:ascii="仿宋" w:hAnsi="仿宋" w:eastAsia="仿宋" w:cs="仿宋"/>
          <w:sz w:val="28"/>
          <w:szCs w:val="28"/>
        </w:rPr>
      </w:pPr>
    </w:p>
    <w:p>
      <w:pPr>
        <w:pStyle w:val="43"/>
        <w:pageBreakBefore w:val="0"/>
        <w:numPr>
          <w:ilvl w:val="0"/>
          <w:numId w:val="2"/>
        </w:numPr>
        <w:wordWrap/>
        <w:topLinePunct w:val="0"/>
        <w:autoSpaceDE/>
        <w:autoSpaceDN/>
        <w:bidi w:val="0"/>
        <w:adjustRightInd/>
        <w:snapToGrid/>
        <w:spacing w:line="440" w:lineRule="exact"/>
        <w:textAlignment w:val="auto"/>
        <w:rPr>
          <w:rFonts w:ascii="仿宋" w:hAnsi="仿宋" w:eastAsia="仿宋" w:cs="仿宋"/>
          <w:b/>
          <w:bCs/>
          <w:sz w:val="28"/>
          <w:szCs w:val="28"/>
        </w:rPr>
      </w:pPr>
      <w:r>
        <w:rPr>
          <w:rFonts w:hint="eastAsia" w:ascii="仿宋" w:hAnsi="仿宋" w:eastAsia="仿宋" w:cs="仿宋"/>
          <w:b/>
          <w:bCs/>
          <w:sz w:val="28"/>
          <w:szCs w:val="28"/>
        </w:rPr>
        <w:t>技术参数要求</w:t>
      </w:r>
    </w:p>
    <w:p>
      <w:pPr>
        <w:pStyle w:val="14"/>
        <w:pageBreakBefore w:val="0"/>
        <w:tabs>
          <w:tab w:val="left" w:pos="180"/>
        </w:tabs>
        <w:wordWrap/>
        <w:topLinePunct w:val="0"/>
        <w:autoSpaceDE/>
        <w:autoSpaceDN/>
        <w:bidi w:val="0"/>
        <w:adjustRightInd/>
        <w:snapToGrid/>
        <w:spacing w:line="440" w:lineRule="exact"/>
        <w:textAlignment w:val="auto"/>
        <w:rPr>
          <w:rFonts w:ascii="仿宋" w:hAnsi="仿宋" w:eastAsia="仿宋" w:cs="仿宋"/>
          <w:b/>
          <w:color w:val="000000"/>
          <w:sz w:val="24"/>
        </w:rPr>
      </w:pPr>
      <w:r>
        <w:rPr>
          <w:rFonts w:hint="eastAsia" w:ascii="仿宋" w:hAnsi="仿宋" w:eastAsia="仿宋" w:cs="仿宋"/>
          <w:b/>
          <w:color w:val="000000"/>
          <w:sz w:val="24"/>
        </w:rPr>
        <w:t>（一）18吨燃油洗扫车技术参数技术参数</w:t>
      </w:r>
    </w:p>
    <w:p>
      <w:pPr>
        <w:pageBreakBefore w:val="0"/>
        <w:numPr>
          <w:ilvl w:val="0"/>
          <w:numId w:val="3"/>
        </w:numPr>
        <w:wordWrap/>
        <w:topLinePunct w:val="0"/>
        <w:autoSpaceDE/>
        <w:autoSpaceDN/>
        <w:bidi w:val="0"/>
        <w:adjustRightInd/>
        <w:snapToGrid/>
        <w:spacing w:after="120" w:afterLines="50" w:line="440" w:lineRule="exact"/>
        <w:textAlignment w:val="auto"/>
        <w:rPr>
          <w:rFonts w:ascii="仿宋" w:hAnsi="仿宋" w:eastAsia="仿宋" w:cs="仿宋"/>
          <w:b/>
          <w:bCs/>
          <w:iCs/>
          <w:sz w:val="24"/>
        </w:rPr>
      </w:pPr>
      <w:r>
        <w:rPr>
          <w:rFonts w:hint="eastAsia" w:ascii="仿宋" w:hAnsi="仿宋" w:eastAsia="仿宋" w:cs="仿宋"/>
          <w:b/>
          <w:bCs/>
          <w:iCs/>
          <w:sz w:val="24"/>
        </w:rPr>
        <w:t>主要技术参数</w:t>
      </w:r>
    </w:p>
    <w:tbl>
      <w:tblPr>
        <w:tblStyle w:val="34"/>
        <w:tblW w:w="9286" w:type="dxa"/>
        <w:tblInd w:w="118" w:type="dxa"/>
        <w:shd w:val="clear" w:color="auto" w:fill="FFFFFF"/>
        <w:tblLayout w:type="fixed"/>
        <w:tblCellMar>
          <w:top w:w="0" w:type="dxa"/>
          <w:left w:w="0" w:type="dxa"/>
          <w:bottom w:w="0" w:type="dxa"/>
          <w:right w:w="0" w:type="dxa"/>
        </w:tblCellMar>
      </w:tblPr>
      <w:tblGrid>
        <w:gridCol w:w="1473"/>
        <w:gridCol w:w="4084"/>
        <w:gridCol w:w="3729"/>
      </w:tblGrid>
      <w:tr>
        <w:tblPrEx>
          <w:shd w:val="clear" w:color="auto" w:fill="FFFFFF"/>
          <w:tblLayout w:type="fixed"/>
          <w:tblCellMar>
            <w:top w:w="0" w:type="dxa"/>
            <w:left w:w="0" w:type="dxa"/>
            <w:bottom w:w="0" w:type="dxa"/>
            <w:right w:w="0" w:type="dxa"/>
          </w:tblCellMar>
        </w:tblPrEx>
        <w:trPr>
          <w:trHeight w:val="284" w:hRule="atLeast"/>
        </w:trPr>
        <w:tc>
          <w:tcPr>
            <w:tcW w:w="14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项目</w:t>
            </w: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项目名称</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技术规格及参数要求</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整车参数</w:t>
            </w: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整车外形尺寸（长×宽×高 ，mm）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≥8600×2450×3000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总质量（kg）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≥18000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整备质量（kg）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≤12800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额定载质量（kg）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≥5000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轴距（mm）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≥5000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动力部分</w:t>
            </w: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★底盘发动机功率（kw）</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≥169（六缸机）</w:t>
            </w:r>
          </w:p>
        </w:tc>
      </w:tr>
      <w:tr>
        <w:tblPrEx>
          <w:shd w:val="clear" w:color="auto" w:fill="FFFFFF"/>
          <w:tblLayout w:type="fixed"/>
          <w:tblCellMar>
            <w:top w:w="0" w:type="dxa"/>
            <w:left w:w="0" w:type="dxa"/>
            <w:bottom w:w="0" w:type="dxa"/>
            <w:right w:w="0" w:type="dxa"/>
          </w:tblCellMar>
        </w:tblPrEx>
        <w:trPr>
          <w:trHeight w:val="399" w:hRule="atLeast"/>
        </w:trPr>
        <w:tc>
          <w:tcPr>
            <w:tcW w:w="1473"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★上装发动机功率（kw）</w:t>
            </w:r>
          </w:p>
        </w:tc>
        <w:tc>
          <w:tcPr>
            <w:tcW w:w="3729" w:type="dxa"/>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专用部分</w:t>
            </w: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清水箱容积（m³）</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≥9</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垃圾箱容积（m³）</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≥5</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洗扫宽度（m）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≥3.5</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清扫速度（km/h）</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3-20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清扫效率（%）</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≥95</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最大卸料角（°）</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低压冲洗宽度（m）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≥24</w:t>
            </w:r>
          </w:p>
        </w:tc>
      </w:tr>
    </w:tbl>
    <w:p>
      <w:pPr>
        <w:pageBreakBefore w:val="0"/>
        <w:wordWrap/>
        <w:topLinePunct w:val="0"/>
        <w:autoSpaceDE/>
        <w:autoSpaceDN/>
        <w:bidi w:val="0"/>
        <w:adjustRightInd/>
        <w:snapToGrid/>
        <w:spacing w:line="440" w:lineRule="exact"/>
        <w:textAlignment w:val="auto"/>
        <w:rPr>
          <w:rFonts w:ascii="仿宋" w:hAnsi="仿宋" w:eastAsia="仿宋" w:cs="仿宋"/>
          <w:b/>
          <w:bCs/>
          <w:color w:val="000000"/>
          <w:sz w:val="24"/>
        </w:rPr>
      </w:pPr>
      <w:r>
        <w:rPr>
          <w:rFonts w:hint="eastAsia" w:ascii="仿宋" w:hAnsi="仿宋" w:eastAsia="仿宋" w:cs="仿宋"/>
          <w:szCs w:val="21"/>
        </w:rPr>
        <w:t xml:space="preserve"> </w:t>
      </w:r>
      <w:r>
        <w:rPr>
          <w:rFonts w:hint="eastAsia" w:ascii="仿宋" w:hAnsi="仿宋" w:eastAsia="仿宋" w:cs="仿宋"/>
          <w:b/>
          <w:bCs/>
          <w:szCs w:val="21"/>
        </w:rPr>
        <w:t>（2）</w:t>
      </w:r>
      <w:r>
        <w:rPr>
          <w:rFonts w:hint="eastAsia" w:ascii="仿宋" w:hAnsi="仿宋" w:eastAsia="仿宋" w:cs="仿宋"/>
          <w:b/>
          <w:bCs/>
          <w:color w:val="000000"/>
          <w:sz w:val="24"/>
        </w:rPr>
        <w:t>产品主要性能要求:</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bidi="ar"/>
        </w:rPr>
        <w:t>▲</w:t>
      </w:r>
      <w:r>
        <w:rPr>
          <w:rFonts w:hint="eastAsia" w:ascii="仿宋" w:hAnsi="仿宋" w:eastAsia="仿宋" w:cs="仿宋"/>
          <w:sz w:val="24"/>
        </w:rPr>
        <w:t>车辆具备有国家工业和信息化部发布的汽车公告，公告名称为洗扫车，尾气排放必须达到国六标准，性能可靠，节能环保，驾驶室配备空调；</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（2）投标车辆具备路面清扫、路面洗刷、高压清洗、路沿石洗刷、污水回收等多种作业功能；另配置高压喷枪，能对全车进行自清洁，还能对人行步道及街道小广告等进行清洗和清除；</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（3）车辆应具备高、低压两套水路系统，即可高压洗扫作业，又可低压大流量冲洗作业。</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工作装置采用“中置两立扫＋中置宽吸嘴（内置高压水喷杆）＋中置高压侧喷杆”技术结构，可将左、右侧高压喷杆与吸嘴整合在一起，作业装置集中、喷嘴离地间距恒定，以保证适应不同的道路环境。集中布置的作业装置，作业飞溅少、污水吸净率高、清洗宽度大、清洗效率高；</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（5）左、右高压喷杆可外摆、收回由气缸驱动，电控系统自动控制。为便于喷嘴的调节与维修更换，吸嘴内喷杆设计成可快速拉出结构，清扫盘具有防碰撞避让功能；</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（6）左、右高压侧喷杆与吸嘴组“V”型布置， “V”形角度及高压水喷嘴角度可实现调整，水流冲击力大，保证了污水能够有效汇集在吸口前方，污水收集更彻底。喷杆具备防撞避让和自动复位功能，保证了作业安全性；</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7）具备扫刷自适应功能。扫刷触地压力恒定，随着刷毛磨损，无需人工调节扫盘离地高度，扫刷即可自动补偿，无论是平整路面还是起伏不平路面，始终保证刷毛与地面有效贴合度，直至扫刷完全磨损更换。即减轻人工劳动强度，又保证清扫效果。</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bidi="ar"/>
        </w:rPr>
        <w:t>▲</w:t>
      </w:r>
      <w:r>
        <w:rPr>
          <w:rFonts w:hint="eastAsia" w:ascii="仿宋" w:hAnsi="仿宋" w:eastAsia="仿宋" w:cs="仿宋"/>
          <w:sz w:val="24"/>
        </w:rPr>
        <w:t>车辆具有技术先进的高压水路控制系统，当高压水泵启动及工作水阀切换时，水泵能自动卸荷。水箱内设置有低水位传感报警系统，低水位时可实现自动报警，防止水泵缺水损坏；</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（9）驾驶室内操作使用显示屏，降低故障率。操作方便，一键启动，作业时只需选定作业模式，各作业机构的启动与关停由程序自动控制，操作更方便。</w:t>
      </w:r>
    </w:p>
    <w:p>
      <w:pPr>
        <w:pageBreakBefore w:val="0"/>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sz w:val="24"/>
        </w:rPr>
        <w:t>（10）</w:t>
      </w:r>
      <w:r>
        <w:rPr>
          <w:rFonts w:hint="eastAsia" w:ascii="仿宋" w:hAnsi="仿宋" w:eastAsia="仿宋" w:cs="仿宋"/>
          <w:sz w:val="24"/>
          <w:lang w:bidi="ar"/>
        </w:rPr>
        <w:t>▲</w:t>
      </w:r>
      <w:r>
        <w:rPr>
          <w:rFonts w:hint="eastAsia" w:ascii="仿宋" w:hAnsi="仿宋" w:eastAsia="仿宋" w:cs="仿宋"/>
          <w:sz w:val="24"/>
        </w:rPr>
        <w:t>车辆需具备上装</w:t>
      </w:r>
      <w:r>
        <w:rPr>
          <w:rFonts w:hint="eastAsia" w:ascii="仿宋" w:hAnsi="仿宋" w:eastAsia="仿宋" w:cs="仿宋"/>
          <w:color w:val="auto"/>
          <w:sz w:val="24"/>
        </w:rPr>
        <w:t>智能启停功能，车辆在等红绿灯不需作业时，扫盘和喷嘴自动关闭，节省能耗。</w:t>
      </w:r>
    </w:p>
    <w:p>
      <w:pPr>
        <w:pageBreakBefore w:val="0"/>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（11）</w:t>
      </w:r>
      <w:r>
        <w:rPr>
          <w:rFonts w:hint="eastAsia" w:ascii="仿宋" w:hAnsi="仿宋" w:eastAsia="仿宋" w:cs="仿宋"/>
          <w:color w:val="auto"/>
          <w:sz w:val="24"/>
          <w:lang w:bidi="ar"/>
        </w:rPr>
        <w:t>▲</w:t>
      </w:r>
      <w:r>
        <w:rPr>
          <w:rFonts w:hint="eastAsia" w:ascii="仿宋" w:hAnsi="仿宋" w:eastAsia="仿宋" w:cs="仿宋"/>
          <w:color w:val="auto"/>
          <w:sz w:val="24"/>
        </w:rPr>
        <w:t>车辆配备智能监控系统，利用车载监控终端采集整车运行数据并上传到监控平台，实现对车辆信息的监控、显示和数据存储，可通过微信小程序端、PC端</w:t>
      </w:r>
      <w:r>
        <w:rPr>
          <w:rFonts w:hint="eastAsia" w:ascii="仿宋" w:hAnsi="仿宋" w:eastAsia="仿宋" w:cs="仿宋"/>
          <w:color w:val="auto"/>
          <w:sz w:val="24"/>
          <w:lang w:eastAsia="zh-CN"/>
        </w:rPr>
        <w:t>等</w:t>
      </w:r>
      <w:r>
        <w:rPr>
          <w:rFonts w:hint="eastAsia" w:ascii="仿宋" w:hAnsi="仿宋" w:eastAsia="仿宋" w:cs="仿宋"/>
          <w:color w:val="auto"/>
          <w:sz w:val="24"/>
        </w:rPr>
        <w:t>版本实时查看车辆位置、配件管理（方便查询配件规格和数量、便捷维修更换）、还能实现重要故障、低温结冰预警、维修保养</w:t>
      </w:r>
      <w:r>
        <w:rPr>
          <w:rFonts w:hint="eastAsia" w:ascii="仿宋" w:hAnsi="仿宋" w:eastAsia="仿宋" w:cs="仿宋"/>
          <w:color w:val="auto"/>
          <w:sz w:val="24"/>
          <w:lang w:val="en-US" w:eastAsia="zh-CN"/>
        </w:rPr>
        <w:t>等消息一键上报。</w:t>
      </w:r>
      <w:r>
        <w:rPr>
          <w:rFonts w:hint="eastAsia" w:ascii="仿宋" w:hAnsi="仿宋" w:eastAsia="仿宋" w:cs="仿宋"/>
          <w:color w:val="auto"/>
          <w:sz w:val="24"/>
        </w:rPr>
        <w:t>（需提供承诺函并与实际交付车辆保持一致）。</w:t>
      </w:r>
    </w:p>
    <w:p>
      <w:pPr>
        <w:pStyle w:val="14"/>
        <w:pageBreakBefore w:val="0"/>
        <w:numPr>
          <w:ilvl w:val="0"/>
          <w:numId w:val="4"/>
        </w:numPr>
        <w:tabs>
          <w:tab w:val="left" w:pos="180"/>
        </w:tabs>
        <w:wordWrap/>
        <w:topLinePunct w:val="0"/>
        <w:autoSpaceDE/>
        <w:autoSpaceDN/>
        <w:bidi w:val="0"/>
        <w:adjustRightInd/>
        <w:snapToGrid/>
        <w:spacing w:line="440" w:lineRule="exact"/>
        <w:textAlignment w:val="auto"/>
        <w:rPr>
          <w:rFonts w:ascii="仿宋" w:hAnsi="仿宋" w:eastAsia="仿宋" w:cs="仿宋"/>
          <w:b/>
          <w:color w:val="000000"/>
          <w:sz w:val="24"/>
        </w:rPr>
      </w:pPr>
      <w:r>
        <w:rPr>
          <w:rFonts w:hint="eastAsia" w:ascii="仿宋" w:hAnsi="仿宋" w:eastAsia="仿宋" w:cs="仿宋"/>
          <w:b/>
          <w:color w:val="auto"/>
          <w:sz w:val="24"/>
        </w:rPr>
        <w:t>18吨燃油洒水车技术参</w:t>
      </w:r>
      <w:r>
        <w:rPr>
          <w:rFonts w:hint="eastAsia" w:ascii="仿宋" w:hAnsi="仿宋" w:eastAsia="仿宋" w:cs="仿宋"/>
          <w:b/>
          <w:color w:val="000000"/>
          <w:sz w:val="24"/>
        </w:rPr>
        <w:t>数技术参数</w:t>
      </w:r>
    </w:p>
    <w:p>
      <w:pPr>
        <w:pageBreakBefore w:val="0"/>
        <w:wordWrap/>
        <w:topLinePunct w:val="0"/>
        <w:autoSpaceDE/>
        <w:autoSpaceDN/>
        <w:bidi w:val="0"/>
        <w:adjustRightInd/>
        <w:snapToGrid/>
        <w:spacing w:after="120" w:afterLines="50" w:line="440" w:lineRule="exact"/>
        <w:textAlignment w:val="auto"/>
        <w:rPr>
          <w:rFonts w:ascii="仿宋" w:hAnsi="仿宋" w:eastAsia="仿宋" w:cs="仿宋"/>
          <w:b/>
          <w:bCs/>
          <w:iCs/>
          <w:sz w:val="24"/>
        </w:rPr>
      </w:pPr>
      <w:r>
        <w:rPr>
          <w:rFonts w:hint="eastAsia" w:ascii="仿宋" w:hAnsi="仿宋" w:eastAsia="仿宋" w:cs="仿宋"/>
          <w:b/>
          <w:bCs/>
          <w:iCs/>
          <w:sz w:val="24"/>
        </w:rPr>
        <w:t>（1）主要技术参数</w:t>
      </w:r>
    </w:p>
    <w:tbl>
      <w:tblPr>
        <w:tblStyle w:val="34"/>
        <w:tblW w:w="9286" w:type="dxa"/>
        <w:tblInd w:w="118" w:type="dxa"/>
        <w:shd w:val="clear" w:color="auto" w:fill="FFFFFF"/>
        <w:tblLayout w:type="fixed"/>
        <w:tblCellMar>
          <w:top w:w="0" w:type="dxa"/>
          <w:left w:w="0" w:type="dxa"/>
          <w:bottom w:w="0" w:type="dxa"/>
          <w:right w:w="0" w:type="dxa"/>
        </w:tblCellMar>
      </w:tblPr>
      <w:tblGrid>
        <w:gridCol w:w="1473"/>
        <w:gridCol w:w="4084"/>
        <w:gridCol w:w="3729"/>
      </w:tblGrid>
      <w:tr>
        <w:tblPrEx>
          <w:shd w:val="clear" w:color="auto" w:fill="FFFFFF"/>
          <w:tblLayout w:type="fixed"/>
          <w:tblCellMar>
            <w:top w:w="0" w:type="dxa"/>
            <w:left w:w="0" w:type="dxa"/>
            <w:bottom w:w="0" w:type="dxa"/>
            <w:right w:w="0" w:type="dxa"/>
          </w:tblCellMar>
        </w:tblPrEx>
        <w:trPr>
          <w:trHeight w:val="284" w:hRule="atLeast"/>
        </w:trPr>
        <w:tc>
          <w:tcPr>
            <w:tcW w:w="14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项目</w:t>
            </w: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项目名称</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技术规格及参数要求</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整车参数</w:t>
            </w: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整车外形尺寸（长×宽×高 ，mm）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≥7900×2450×2850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总质量（kg）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≥18000</w:t>
            </w:r>
          </w:p>
        </w:tc>
      </w:tr>
      <w:tr>
        <w:tblPrEx>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整备质量（kg）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≤7100</w:t>
            </w:r>
          </w:p>
        </w:tc>
      </w:tr>
      <w:tr>
        <w:tblPrEx>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额定载质量（kg）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≥10600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轴距（mm）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≥4500</w:t>
            </w:r>
          </w:p>
        </w:tc>
      </w:tr>
      <w:tr>
        <w:tblPrEx>
          <w:shd w:val="clear" w:color="auto" w:fill="FFFFFF"/>
          <w:tblLayout w:type="fixed"/>
          <w:tblCellMar>
            <w:top w:w="0" w:type="dxa"/>
            <w:left w:w="0" w:type="dxa"/>
            <w:bottom w:w="0" w:type="dxa"/>
            <w:right w:w="0" w:type="dxa"/>
          </w:tblCellMar>
        </w:tblPrEx>
        <w:trPr>
          <w:trHeight w:val="454" w:hRule="atLeast"/>
        </w:trPr>
        <w:tc>
          <w:tcPr>
            <w:tcW w:w="1473"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动力部分</w:t>
            </w:r>
          </w:p>
        </w:tc>
        <w:tc>
          <w:tcPr>
            <w:tcW w:w="4084"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★底盘发动机功率（kw）</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≥169</w:t>
            </w:r>
          </w:p>
        </w:tc>
      </w:tr>
      <w:tr>
        <w:tblPrEx>
          <w:tblLayout w:type="fixed"/>
          <w:tblCellMar>
            <w:top w:w="0" w:type="dxa"/>
            <w:left w:w="0" w:type="dxa"/>
            <w:bottom w:w="0" w:type="dxa"/>
            <w:right w:w="0" w:type="dxa"/>
          </w:tblCellMar>
        </w:tblPrEx>
        <w:trPr>
          <w:trHeight w:val="454" w:hRule="atLeast"/>
        </w:trPr>
        <w:tc>
          <w:tcPr>
            <w:tcW w:w="147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专用部分</w:t>
            </w: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lang w:bidi="ar"/>
              </w:rPr>
              <w:t>▲</w:t>
            </w:r>
            <w:r>
              <w:rPr>
                <w:rFonts w:hint="eastAsia" w:ascii="仿宋" w:hAnsi="仿宋" w:eastAsia="仿宋" w:cs="仿宋"/>
                <w:sz w:val="24"/>
              </w:rPr>
              <w:t>公告罐体总容积（m³）</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≥11</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洒水宽度（m）</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≥14</w:t>
            </w:r>
          </w:p>
        </w:tc>
      </w:tr>
      <w:tr>
        <w:tblPrEx>
          <w:tblLayout w:type="fixed"/>
          <w:tblCellMar>
            <w:top w:w="0" w:type="dxa"/>
            <w:left w:w="0" w:type="dxa"/>
            <w:bottom w:w="0" w:type="dxa"/>
            <w:right w:w="0" w:type="dxa"/>
          </w:tblCellMar>
        </w:tblPrEx>
        <w:trPr>
          <w:trHeight w:val="454"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对冲宽度（m）</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≥24</w:t>
            </w:r>
          </w:p>
        </w:tc>
      </w:tr>
      <w:tr>
        <w:tblPrEx>
          <w:tblLayout w:type="fixed"/>
          <w:tblCellMar>
            <w:top w:w="0" w:type="dxa"/>
            <w:left w:w="0" w:type="dxa"/>
            <w:bottom w:w="0" w:type="dxa"/>
            <w:right w:w="0" w:type="dxa"/>
          </w:tblCellMar>
        </w:tblPrEx>
        <w:trPr>
          <w:trHeight w:val="454"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后高炮射程（m）</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≥35</w:t>
            </w:r>
          </w:p>
        </w:tc>
      </w:tr>
    </w:tbl>
    <w:p>
      <w:pPr>
        <w:pageBreakBefore w:val="0"/>
        <w:wordWrap/>
        <w:topLinePunct w:val="0"/>
        <w:autoSpaceDE/>
        <w:autoSpaceDN/>
        <w:bidi w:val="0"/>
        <w:adjustRightInd/>
        <w:snapToGrid/>
        <w:spacing w:line="440" w:lineRule="exact"/>
        <w:textAlignment w:val="auto"/>
        <w:rPr>
          <w:rFonts w:ascii="仿宋" w:hAnsi="仿宋" w:eastAsia="仿宋" w:cs="仿宋"/>
          <w:b/>
          <w:bCs/>
          <w:color w:val="000000"/>
          <w:sz w:val="24"/>
        </w:rPr>
      </w:pPr>
      <w:r>
        <w:rPr>
          <w:rFonts w:hint="eastAsia" w:ascii="仿宋" w:hAnsi="仿宋" w:eastAsia="仿宋" w:cs="仿宋"/>
          <w:szCs w:val="21"/>
        </w:rPr>
        <w:t xml:space="preserve"> </w:t>
      </w:r>
      <w:r>
        <w:rPr>
          <w:rFonts w:hint="eastAsia" w:ascii="仿宋" w:hAnsi="仿宋" w:eastAsia="仿宋" w:cs="仿宋"/>
          <w:b/>
          <w:bCs/>
          <w:szCs w:val="21"/>
        </w:rPr>
        <w:t>（2）</w:t>
      </w:r>
      <w:r>
        <w:rPr>
          <w:rFonts w:hint="eastAsia" w:ascii="仿宋" w:hAnsi="仿宋" w:eastAsia="仿宋" w:cs="仿宋"/>
          <w:b/>
          <w:bCs/>
          <w:color w:val="000000"/>
          <w:sz w:val="24"/>
        </w:rPr>
        <w:t>产品主要性能要求:</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bidi="ar"/>
        </w:rPr>
        <w:t>▲</w:t>
      </w:r>
      <w:r>
        <w:rPr>
          <w:rFonts w:hint="eastAsia" w:ascii="仿宋" w:hAnsi="仿宋" w:eastAsia="仿宋" w:cs="仿宋"/>
          <w:sz w:val="24"/>
        </w:rPr>
        <w:t>车辆具备有国家工业和信息化部发布的汽车公告，公告名称为洒水车，尾气排放必须达到国六标准，性能可靠，节能环保，驾驶室配备空调；</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（2）车辆采用二类底盘做载车，加装罐体总成、取力传动系统、管路系统和喷水器等组成；</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（3）具备通过对所带喷水器调节改变喷水器的喷洒方向和角度功能，以适应不同方向的喷洒，配备高射水炮后用于城乡园林绿化及应急消防。</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（4）后下部应配备后洒装置，能够浇落路中间喷水器冲起的灰尘；</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（5）车辆具有洒水、压尘、喷洒等功能，一车多用；</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（6）车辆罐体应采用优质高强度低碳钢材质，材料厚度不小于3mm；水罐内壁应采用先进工艺处理，进口环保防腐漆，不锈蚀无毒害；</w:t>
      </w:r>
    </w:p>
    <w:p>
      <w:pPr>
        <w:pageBreakBefore w:val="0"/>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sz w:val="24"/>
        </w:rPr>
        <w:t>（7）</w:t>
      </w:r>
      <w:r>
        <w:rPr>
          <w:rFonts w:hint="eastAsia" w:ascii="仿宋" w:hAnsi="仿宋" w:eastAsia="仿宋" w:cs="仿宋"/>
          <w:color w:val="auto"/>
          <w:sz w:val="24"/>
        </w:rPr>
        <w:t>车辆罐体内应安装有防波浪装置，有效防止罐内水对封头的冲击。</w:t>
      </w:r>
    </w:p>
    <w:p>
      <w:pPr>
        <w:pStyle w:val="21"/>
        <w:pageBreakBefore w:val="0"/>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bidi="ar"/>
        </w:rPr>
        <w:t>▲</w:t>
      </w:r>
      <w:r>
        <w:rPr>
          <w:rFonts w:hint="eastAsia" w:ascii="仿宋" w:hAnsi="仿宋" w:eastAsia="仿宋" w:cs="仿宋"/>
          <w:color w:val="auto"/>
          <w:sz w:val="24"/>
        </w:rPr>
        <w:t>车辆配备智能监控系统，利用车载监控终端采集整车运行数据并上传到监控平台，实现对车辆信息的监控、显示和数据存储，可通过微信小程序端、PC端</w:t>
      </w:r>
      <w:r>
        <w:rPr>
          <w:rFonts w:hint="eastAsia" w:ascii="仿宋" w:hAnsi="仿宋" w:eastAsia="仿宋" w:cs="仿宋"/>
          <w:color w:val="auto"/>
          <w:sz w:val="24"/>
          <w:lang w:eastAsia="zh-CN"/>
        </w:rPr>
        <w:t>等</w:t>
      </w:r>
      <w:r>
        <w:rPr>
          <w:rFonts w:hint="eastAsia" w:ascii="仿宋" w:hAnsi="仿宋" w:eastAsia="仿宋" w:cs="仿宋"/>
          <w:color w:val="auto"/>
          <w:sz w:val="24"/>
        </w:rPr>
        <w:t>版本实时查看车辆位置、配件管理（方便查询配件规格和数量、便捷维修更换）、还能实现重要故障、低温结冰预警、维修保养</w:t>
      </w:r>
      <w:r>
        <w:rPr>
          <w:rFonts w:hint="eastAsia" w:ascii="仿宋" w:hAnsi="仿宋" w:eastAsia="仿宋" w:cs="仿宋"/>
          <w:color w:val="auto"/>
          <w:sz w:val="24"/>
          <w:lang w:val="en-US" w:eastAsia="zh-CN"/>
        </w:rPr>
        <w:t>等消息一键上报。</w:t>
      </w:r>
      <w:r>
        <w:rPr>
          <w:rFonts w:hint="eastAsia" w:ascii="仿宋" w:hAnsi="仿宋" w:eastAsia="仿宋" w:cs="仿宋"/>
          <w:color w:val="auto"/>
          <w:sz w:val="24"/>
        </w:rPr>
        <w:t>（需提供承诺函并与实际交付车辆保持一致）。</w:t>
      </w:r>
    </w:p>
    <w:p>
      <w:pPr>
        <w:pStyle w:val="14"/>
        <w:pageBreakBefore w:val="0"/>
        <w:tabs>
          <w:tab w:val="left" w:pos="180"/>
        </w:tabs>
        <w:wordWrap/>
        <w:topLinePunct w:val="0"/>
        <w:autoSpaceDE/>
        <w:autoSpaceDN/>
        <w:bidi w:val="0"/>
        <w:adjustRightInd/>
        <w:snapToGrid/>
        <w:spacing w:line="440" w:lineRule="exact"/>
        <w:textAlignment w:val="auto"/>
        <w:rPr>
          <w:rFonts w:ascii="仿宋" w:hAnsi="仿宋" w:eastAsia="仿宋" w:cs="仿宋"/>
          <w:b/>
          <w:color w:val="000000"/>
          <w:sz w:val="24"/>
        </w:rPr>
      </w:pPr>
      <w:r>
        <w:rPr>
          <w:rFonts w:hint="eastAsia" w:ascii="仿宋" w:hAnsi="仿宋" w:eastAsia="仿宋" w:cs="仿宋"/>
          <w:b/>
          <w:color w:val="auto"/>
          <w:sz w:val="24"/>
          <w:highlight w:val="none"/>
        </w:rPr>
        <w:t>（三）</w:t>
      </w:r>
      <w:r>
        <w:rPr>
          <w:rFonts w:hint="eastAsia" w:ascii="仿宋" w:hAnsi="仿宋" w:eastAsia="仿宋" w:cs="仿宋"/>
          <w:b/>
          <w:color w:val="auto"/>
          <w:sz w:val="24"/>
        </w:rPr>
        <w:t>18吨燃油多功能抑</w:t>
      </w:r>
      <w:r>
        <w:rPr>
          <w:rFonts w:hint="eastAsia" w:ascii="仿宋" w:hAnsi="仿宋" w:eastAsia="仿宋" w:cs="仿宋"/>
          <w:b/>
          <w:color w:val="000000"/>
          <w:sz w:val="24"/>
        </w:rPr>
        <w:t>尘车技术参数技术参数</w:t>
      </w:r>
    </w:p>
    <w:p>
      <w:pPr>
        <w:pageBreakBefore w:val="0"/>
        <w:wordWrap/>
        <w:topLinePunct w:val="0"/>
        <w:autoSpaceDE/>
        <w:autoSpaceDN/>
        <w:bidi w:val="0"/>
        <w:adjustRightInd/>
        <w:snapToGrid/>
        <w:spacing w:after="120" w:afterLines="50" w:line="440" w:lineRule="exact"/>
        <w:textAlignment w:val="auto"/>
        <w:rPr>
          <w:rFonts w:ascii="仿宋" w:hAnsi="仿宋" w:eastAsia="仿宋" w:cs="仿宋"/>
          <w:b/>
          <w:bCs/>
          <w:iCs/>
          <w:sz w:val="24"/>
        </w:rPr>
      </w:pPr>
      <w:r>
        <w:rPr>
          <w:rFonts w:hint="eastAsia" w:ascii="仿宋" w:hAnsi="仿宋" w:eastAsia="仿宋" w:cs="仿宋"/>
          <w:b/>
          <w:bCs/>
          <w:iCs/>
          <w:sz w:val="24"/>
        </w:rPr>
        <w:t>（1）主要技术参数</w:t>
      </w:r>
    </w:p>
    <w:tbl>
      <w:tblPr>
        <w:tblStyle w:val="34"/>
        <w:tblW w:w="9286" w:type="dxa"/>
        <w:tblInd w:w="118" w:type="dxa"/>
        <w:shd w:val="clear" w:color="auto" w:fill="FFFFFF"/>
        <w:tblLayout w:type="fixed"/>
        <w:tblCellMar>
          <w:top w:w="0" w:type="dxa"/>
          <w:left w:w="0" w:type="dxa"/>
          <w:bottom w:w="0" w:type="dxa"/>
          <w:right w:w="0" w:type="dxa"/>
        </w:tblCellMar>
      </w:tblPr>
      <w:tblGrid>
        <w:gridCol w:w="1473"/>
        <w:gridCol w:w="4084"/>
        <w:gridCol w:w="3729"/>
      </w:tblGrid>
      <w:tr>
        <w:tblPrEx>
          <w:shd w:val="clear" w:color="auto" w:fill="FFFFFF"/>
          <w:tblLayout w:type="fixed"/>
          <w:tblCellMar>
            <w:top w:w="0" w:type="dxa"/>
            <w:left w:w="0" w:type="dxa"/>
            <w:bottom w:w="0" w:type="dxa"/>
            <w:right w:w="0" w:type="dxa"/>
          </w:tblCellMar>
        </w:tblPrEx>
        <w:trPr>
          <w:trHeight w:val="284" w:hRule="atLeast"/>
        </w:trPr>
        <w:tc>
          <w:tcPr>
            <w:tcW w:w="147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项目</w:t>
            </w: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项目名称</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b/>
                <w:sz w:val="24"/>
              </w:rPr>
            </w:pPr>
            <w:r>
              <w:rPr>
                <w:rFonts w:hint="eastAsia" w:ascii="仿宋" w:hAnsi="仿宋" w:eastAsia="仿宋" w:cs="仿宋"/>
                <w:b/>
                <w:sz w:val="24"/>
              </w:rPr>
              <w:t>技术规格及参数要求</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整车参数</w:t>
            </w: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整车外形尺寸（长×宽×高 ，mm）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≥9500×2</w:t>
            </w:r>
            <w:r>
              <w:rPr>
                <w:rFonts w:hint="eastAsia" w:ascii="仿宋" w:hAnsi="仿宋" w:eastAsia="仿宋" w:cs="仿宋"/>
                <w:color w:val="auto"/>
                <w:sz w:val="24"/>
                <w:lang w:val="en-US" w:eastAsia="zh-CN"/>
              </w:rPr>
              <w:t>4</w:t>
            </w:r>
            <w:r>
              <w:rPr>
                <w:rFonts w:hint="eastAsia" w:ascii="仿宋" w:hAnsi="仿宋" w:eastAsia="仿宋" w:cs="仿宋"/>
                <w:color w:val="auto"/>
                <w:sz w:val="24"/>
              </w:rPr>
              <w:t>00×3</w:t>
            </w:r>
            <w:r>
              <w:rPr>
                <w:rFonts w:hint="eastAsia" w:ascii="仿宋" w:hAnsi="仿宋" w:eastAsia="仿宋" w:cs="仿宋"/>
                <w:color w:val="auto"/>
                <w:sz w:val="24"/>
                <w:lang w:val="en-US" w:eastAsia="zh-CN"/>
              </w:rPr>
              <w:t>40</w:t>
            </w:r>
            <w:r>
              <w:rPr>
                <w:rFonts w:hint="eastAsia" w:ascii="仿宋" w:hAnsi="仿宋" w:eastAsia="仿宋" w:cs="仿宋"/>
                <w:color w:val="auto"/>
                <w:sz w:val="24"/>
              </w:rPr>
              <w:t>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总质量（kg）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≥18000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整备质量（kg）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≤11000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额定载质量（kg）</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≥6800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轴距（mm）</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≥4500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动力部分</w:t>
            </w:r>
          </w:p>
        </w:tc>
        <w:tc>
          <w:tcPr>
            <w:tcW w:w="4084"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★底盘发动机功率（kw）</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≥169</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8" w:space="0"/>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★上装发动机功率（kw）</w:t>
            </w:r>
          </w:p>
        </w:tc>
        <w:tc>
          <w:tcPr>
            <w:tcW w:w="3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≥100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专用部分</w:t>
            </w: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lang w:bidi="ar"/>
              </w:rPr>
              <w:t>▲</w:t>
            </w:r>
            <w:r>
              <w:rPr>
                <w:rFonts w:hint="eastAsia" w:ascii="仿宋" w:hAnsi="仿宋" w:eastAsia="仿宋" w:cs="仿宋"/>
                <w:sz w:val="24"/>
              </w:rPr>
              <w:t>公告罐体总容积（m³）</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7.2</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lang w:bidi="ar"/>
              </w:rPr>
            </w:pPr>
            <w:r>
              <w:rPr>
                <w:rFonts w:hint="eastAsia" w:ascii="仿宋" w:hAnsi="仿宋" w:eastAsia="仿宋" w:cs="仿宋"/>
                <w:sz w:val="24"/>
                <w:lang w:bidi="ar"/>
              </w:rPr>
              <w:t>▲</w:t>
            </w:r>
            <w:r>
              <w:rPr>
                <w:rFonts w:hint="eastAsia" w:ascii="仿宋" w:hAnsi="仿宋" w:eastAsia="仿宋" w:cs="仿宋"/>
                <w:sz w:val="22"/>
                <w:szCs w:val="22"/>
              </w:rPr>
              <w:t>雾炮水平射程</w:t>
            </w:r>
            <w:r>
              <w:rPr>
                <w:rFonts w:hint="eastAsia" w:ascii="仿宋" w:hAnsi="仿宋" w:eastAsia="仿宋" w:cs="仿宋"/>
                <w:sz w:val="24"/>
              </w:rPr>
              <w:t>（m）</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≥100</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洒水宽度（m）</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≥14</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对冲宽度（m）</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≥24</w:t>
            </w:r>
          </w:p>
        </w:tc>
      </w:tr>
      <w:tr>
        <w:tblPrEx>
          <w:shd w:val="clear" w:color="auto" w:fill="FFFFFF"/>
          <w:tblLayout w:type="fixed"/>
          <w:tblCellMar>
            <w:top w:w="0" w:type="dxa"/>
            <w:left w:w="0" w:type="dxa"/>
            <w:bottom w:w="0" w:type="dxa"/>
            <w:right w:w="0" w:type="dxa"/>
          </w:tblCellMar>
        </w:tblPrEx>
        <w:trPr>
          <w:trHeight w:val="454" w:hRule="atLeast"/>
        </w:trPr>
        <w:tc>
          <w:tcPr>
            <w:tcW w:w="147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p>
        </w:tc>
        <w:tc>
          <w:tcPr>
            <w:tcW w:w="408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后高炮射程（m）</w:t>
            </w:r>
          </w:p>
        </w:tc>
        <w:tc>
          <w:tcPr>
            <w:tcW w:w="3729" w:type="dxa"/>
            <w:tcBorders>
              <w:top w:val="single" w:color="auto" w:sz="8" w:space="0"/>
              <w:left w:val="single" w:color="auto" w:sz="4"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≥35</w:t>
            </w:r>
          </w:p>
        </w:tc>
      </w:tr>
    </w:tbl>
    <w:p>
      <w:pPr>
        <w:pageBreakBefore w:val="0"/>
        <w:wordWrap/>
        <w:topLinePunct w:val="0"/>
        <w:autoSpaceDE/>
        <w:autoSpaceDN/>
        <w:bidi w:val="0"/>
        <w:adjustRightInd/>
        <w:snapToGrid/>
        <w:spacing w:line="440" w:lineRule="exact"/>
        <w:textAlignment w:val="auto"/>
        <w:rPr>
          <w:rFonts w:ascii="仿宋" w:hAnsi="仿宋" w:eastAsia="仿宋" w:cs="仿宋"/>
          <w:b/>
          <w:bCs/>
          <w:color w:val="000000"/>
          <w:sz w:val="24"/>
        </w:rPr>
      </w:pPr>
      <w:r>
        <w:rPr>
          <w:rFonts w:hint="eastAsia" w:ascii="仿宋" w:hAnsi="仿宋" w:eastAsia="仿宋" w:cs="仿宋"/>
          <w:szCs w:val="21"/>
        </w:rPr>
        <w:t xml:space="preserve"> </w:t>
      </w:r>
      <w:r>
        <w:rPr>
          <w:rFonts w:hint="eastAsia" w:ascii="仿宋" w:hAnsi="仿宋" w:eastAsia="仿宋" w:cs="仿宋"/>
          <w:b/>
          <w:bCs/>
          <w:szCs w:val="21"/>
        </w:rPr>
        <w:t>（2）</w:t>
      </w:r>
      <w:r>
        <w:rPr>
          <w:rFonts w:hint="eastAsia" w:ascii="仿宋" w:hAnsi="仿宋" w:eastAsia="仿宋" w:cs="仿宋"/>
          <w:b/>
          <w:bCs/>
          <w:color w:val="000000"/>
          <w:sz w:val="24"/>
        </w:rPr>
        <w:t>产品主要性能要求:</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bidi="ar"/>
        </w:rPr>
        <w:t>▲</w:t>
      </w:r>
      <w:r>
        <w:rPr>
          <w:rFonts w:hint="eastAsia" w:ascii="仿宋" w:hAnsi="仿宋" w:eastAsia="仿宋" w:cs="仿宋"/>
          <w:sz w:val="24"/>
        </w:rPr>
        <w:t>车辆具备有国家工业和信息化部发布的汽车公告，公告名称为多功能抑尘车，尾气排放必须达到国六标准，性能可靠，节能环保，驾驶室配备空调；</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（2）车辆采用二类底盘做载车，加装罐体总成、取力传动系统、管路系统和喷水器等组成；</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（3）具备通过对所带喷水器调节改变喷水器的喷洒方向和角度功能，以适应不同方向的喷洒，配备高射水炮后用于城乡园林绿化及应急消防。</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（4）后下部应配备后洒装置，能够浇落路中间喷水器冲起的灰尘；</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（5）车辆具有洒水、压尘、喷洒等功能，一车多用；</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（6）车辆罐体应采用优质高强度低碳钢材质，材料厚度不小于3mm；水罐内壁应采用先进工艺处理，进口环保防腐漆，不锈蚀无毒害；</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（7）车辆罐体内应安装有防波浪装置，有效防止罐内水对封头的冲击。</w:t>
      </w:r>
    </w:p>
    <w:p>
      <w:pPr>
        <w:pStyle w:val="21"/>
        <w:pageBreakBefore w:val="0"/>
        <w:wordWrap/>
        <w:topLinePunct w:val="0"/>
        <w:autoSpaceDE/>
        <w:autoSpaceDN/>
        <w:bidi w:val="0"/>
        <w:adjustRightInd/>
        <w:snapToGrid/>
        <w:spacing w:line="440" w:lineRule="exact"/>
        <w:textAlignment w:val="auto"/>
        <w:rPr>
          <w:rFonts w:ascii="仿宋" w:hAnsi="仿宋" w:eastAsia="仿宋" w:cs="仿宋"/>
          <w:color w:val="auto"/>
        </w:rPr>
      </w:pPr>
      <w:r>
        <w:rPr>
          <w:rFonts w:hint="eastAsia" w:ascii="仿宋" w:hAnsi="仿宋" w:eastAsia="仿宋" w:cs="仿宋"/>
          <w:sz w:val="24"/>
        </w:rPr>
        <w:t>（8）喷雾</w:t>
      </w:r>
      <w:r>
        <w:rPr>
          <w:rFonts w:hint="eastAsia" w:ascii="仿宋" w:hAnsi="仿宋" w:eastAsia="仿宋" w:cs="仿宋"/>
          <w:color w:val="auto"/>
          <w:sz w:val="24"/>
        </w:rPr>
        <w:t>风机具备无线遥控功能和自动复位功能，自动化程度高、操作便捷。</w:t>
      </w:r>
    </w:p>
    <w:p>
      <w:pPr>
        <w:pageBreakBefore w:val="0"/>
        <w:wordWrap/>
        <w:topLinePunct w:val="0"/>
        <w:autoSpaceDE/>
        <w:autoSpaceDN/>
        <w:bidi w:val="0"/>
        <w:adjustRightInd/>
        <w:snapToGrid/>
        <w:spacing w:line="440" w:lineRule="exact"/>
        <w:textAlignment w:val="auto"/>
        <w:rPr>
          <w:rFonts w:ascii="仿宋" w:hAnsi="仿宋" w:eastAsia="仿宋" w:cs="仿宋"/>
          <w:color w:val="auto"/>
        </w:rPr>
      </w:pPr>
      <w:r>
        <w:rPr>
          <w:rFonts w:hint="eastAsia" w:ascii="仿宋" w:hAnsi="仿宋" w:eastAsia="仿宋" w:cs="仿宋"/>
          <w:color w:val="auto"/>
          <w:sz w:val="24"/>
        </w:rPr>
        <w:t>（9）</w:t>
      </w:r>
      <w:r>
        <w:rPr>
          <w:rFonts w:hint="eastAsia" w:ascii="仿宋" w:hAnsi="仿宋" w:eastAsia="仿宋" w:cs="仿宋"/>
          <w:color w:val="auto"/>
          <w:sz w:val="24"/>
          <w:lang w:bidi="ar"/>
        </w:rPr>
        <w:t>▲</w:t>
      </w:r>
      <w:r>
        <w:rPr>
          <w:rFonts w:hint="eastAsia" w:ascii="仿宋" w:hAnsi="仿宋" w:eastAsia="仿宋" w:cs="仿宋"/>
          <w:color w:val="auto"/>
          <w:sz w:val="24"/>
        </w:rPr>
        <w:t>车辆配备智能监控系统，利用车载监控终端采集整车运行数据并上传到监控平台，实现对车辆信息的监控、显示和数据存储，可通过微信小程序端、PC端</w:t>
      </w:r>
      <w:r>
        <w:rPr>
          <w:rFonts w:hint="eastAsia" w:ascii="仿宋" w:hAnsi="仿宋" w:eastAsia="仿宋" w:cs="仿宋"/>
          <w:color w:val="auto"/>
          <w:sz w:val="24"/>
          <w:lang w:eastAsia="zh-CN"/>
        </w:rPr>
        <w:t>等</w:t>
      </w:r>
      <w:r>
        <w:rPr>
          <w:rFonts w:hint="eastAsia" w:ascii="仿宋" w:hAnsi="仿宋" w:eastAsia="仿宋" w:cs="仿宋"/>
          <w:color w:val="auto"/>
          <w:sz w:val="24"/>
        </w:rPr>
        <w:t>版本实时查看车辆位置、配件管理（方便查询配件规格和数量、便捷维修更换）、还能实现重要故障、低温结冰预警、维修保养</w:t>
      </w:r>
      <w:r>
        <w:rPr>
          <w:rFonts w:hint="eastAsia" w:ascii="仿宋" w:hAnsi="仿宋" w:eastAsia="仿宋" w:cs="仿宋"/>
          <w:color w:val="auto"/>
          <w:sz w:val="24"/>
          <w:lang w:val="en-US" w:eastAsia="zh-CN"/>
        </w:rPr>
        <w:t>等消息一键上报。</w:t>
      </w:r>
      <w:r>
        <w:rPr>
          <w:rFonts w:hint="eastAsia" w:ascii="仿宋" w:hAnsi="仿宋" w:eastAsia="仿宋" w:cs="仿宋"/>
          <w:color w:val="auto"/>
          <w:sz w:val="24"/>
        </w:rPr>
        <w:t>（需提供承诺函并与实际交付车辆保持一致）。</w:t>
      </w:r>
    </w:p>
    <w:p>
      <w:pPr>
        <w:pageBreakBefore w:val="0"/>
        <w:wordWrap/>
        <w:topLinePunct w:val="0"/>
        <w:autoSpaceDE/>
        <w:autoSpaceDN/>
        <w:bidi w:val="0"/>
        <w:adjustRightInd/>
        <w:snapToGrid/>
        <w:spacing w:after="120" w:afterLines="50" w:line="440" w:lineRule="exact"/>
        <w:textAlignment w:val="auto"/>
        <w:rPr>
          <w:rFonts w:ascii="仿宋" w:hAnsi="仿宋" w:eastAsia="仿宋" w:cs="仿宋"/>
          <w:b/>
          <w:bCs/>
          <w:iCs/>
          <w:sz w:val="24"/>
        </w:rPr>
      </w:pPr>
      <w:r>
        <w:rPr>
          <w:rFonts w:hint="eastAsia" w:ascii="仿宋" w:hAnsi="仿宋" w:eastAsia="仿宋" w:cs="仿宋"/>
          <w:b/>
          <w:bCs/>
          <w:iCs/>
          <w:color w:val="auto"/>
          <w:sz w:val="24"/>
        </w:rPr>
        <w:t>（四）4吨新能源</w:t>
      </w:r>
      <w:r>
        <w:rPr>
          <w:rFonts w:hint="eastAsia" w:ascii="仿宋" w:hAnsi="仿宋" w:eastAsia="仿宋" w:cs="仿宋"/>
          <w:b/>
          <w:bCs/>
          <w:iCs/>
          <w:sz w:val="24"/>
        </w:rPr>
        <w:t>洗扫车技术参数</w:t>
      </w:r>
    </w:p>
    <w:p>
      <w:pPr>
        <w:pageBreakBefore w:val="0"/>
        <w:wordWrap/>
        <w:topLinePunct w:val="0"/>
        <w:autoSpaceDE/>
        <w:autoSpaceDN/>
        <w:bidi w:val="0"/>
        <w:adjustRightInd/>
        <w:snapToGrid/>
        <w:spacing w:after="120" w:afterLines="50" w:line="440" w:lineRule="exact"/>
        <w:textAlignment w:val="auto"/>
        <w:rPr>
          <w:rFonts w:ascii="仿宋" w:hAnsi="仿宋" w:eastAsia="仿宋" w:cs="仿宋"/>
          <w:szCs w:val="21"/>
        </w:rPr>
      </w:pPr>
      <w:r>
        <w:rPr>
          <w:rFonts w:hint="eastAsia" w:ascii="仿宋" w:hAnsi="仿宋" w:eastAsia="仿宋" w:cs="仿宋"/>
          <w:b/>
          <w:bCs/>
          <w:iCs/>
          <w:sz w:val="24"/>
        </w:rPr>
        <w:t>（1）主要技术参数</w:t>
      </w:r>
    </w:p>
    <w:tbl>
      <w:tblPr>
        <w:tblStyle w:val="34"/>
        <w:tblW w:w="8874" w:type="dxa"/>
        <w:tblInd w:w="213" w:type="dxa"/>
        <w:shd w:val="clear" w:color="auto" w:fill="FFFFFF"/>
        <w:tblLayout w:type="fixed"/>
        <w:tblCellMar>
          <w:top w:w="0" w:type="dxa"/>
          <w:left w:w="0" w:type="dxa"/>
          <w:bottom w:w="0" w:type="dxa"/>
          <w:right w:w="0" w:type="dxa"/>
        </w:tblCellMar>
      </w:tblPr>
      <w:tblGrid>
        <w:gridCol w:w="1258"/>
        <w:gridCol w:w="4086"/>
        <w:gridCol w:w="3530"/>
      </w:tblGrid>
      <w:tr>
        <w:tblPrEx>
          <w:shd w:val="clear" w:color="auto" w:fill="FFFFFF"/>
          <w:tblLayout w:type="fixed"/>
          <w:tblCellMar>
            <w:top w:w="0" w:type="dxa"/>
            <w:left w:w="0" w:type="dxa"/>
            <w:bottom w:w="0" w:type="dxa"/>
            <w:right w:w="0" w:type="dxa"/>
          </w:tblCellMar>
        </w:tblPrEx>
        <w:trPr>
          <w:trHeight w:val="284" w:hRule="atLeast"/>
        </w:trPr>
        <w:tc>
          <w:tcPr>
            <w:tcW w:w="125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r>
              <w:rPr>
                <w:rFonts w:hint="eastAsia" w:ascii="仿宋" w:hAnsi="仿宋" w:eastAsia="仿宋" w:cs="仿宋"/>
                <w:b/>
                <w:bCs/>
                <w:sz w:val="24"/>
              </w:rPr>
              <w:t>项目</w:t>
            </w: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r>
              <w:rPr>
                <w:rFonts w:hint="eastAsia" w:ascii="仿宋" w:hAnsi="仿宋" w:eastAsia="仿宋" w:cs="仿宋"/>
                <w:b/>
                <w:bCs/>
                <w:sz w:val="24"/>
              </w:rPr>
              <w:t>项目名称</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r>
              <w:rPr>
                <w:rFonts w:hint="eastAsia" w:ascii="仿宋" w:hAnsi="仿宋" w:eastAsia="仿宋" w:cs="仿宋"/>
                <w:b/>
                <w:bCs/>
                <w:sz w:val="24"/>
              </w:rPr>
              <w:t>技术规格及参数要求</w:t>
            </w:r>
          </w:p>
        </w:tc>
      </w:tr>
      <w:tr>
        <w:tblPrEx>
          <w:tblLayout w:type="fixed"/>
          <w:tblCellMar>
            <w:top w:w="0" w:type="dxa"/>
            <w:left w:w="0" w:type="dxa"/>
            <w:bottom w:w="0" w:type="dxa"/>
            <w:right w:w="0" w:type="dxa"/>
          </w:tblCellMar>
        </w:tblPrEx>
        <w:trPr>
          <w:trHeight w:val="454" w:hRule="atLeast"/>
        </w:trPr>
        <w:tc>
          <w:tcPr>
            <w:tcW w:w="1258"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r>
              <w:rPr>
                <w:rFonts w:hint="eastAsia" w:ascii="仿宋" w:hAnsi="仿宋" w:eastAsia="仿宋" w:cs="仿宋"/>
                <w:sz w:val="24"/>
              </w:rPr>
              <w:t>整车参数</w:t>
            </w: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整车外形尺寸（长×宽×高 ，mm）</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≤6000×1850×2500</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总质量（kg）</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≥4495</w:t>
            </w:r>
          </w:p>
        </w:tc>
      </w:tr>
      <w:tr>
        <w:tblPrEx>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整备质量（kg）</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≤4250</w:t>
            </w:r>
          </w:p>
        </w:tc>
      </w:tr>
      <w:tr>
        <w:tblPrEx>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额定载质量（kg）</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≥115</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轴距（mm）</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≤3310</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restar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r>
              <w:rPr>
                <w:rFonts w:hint="eastAsia" w:ascii="仿宋" w:hAnsi="仿宋" w:eastAsia="仿宋" w:cs="仿宋"/>
                <w:sz w:val="24"/>
              </w:rPr>
              <w:t>电动部分</w:t>
            </w: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动力电池类型</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磷酸铁锂（或优于其性能）</w:t>
            </w:r>
          </w:p>
        </w:tc>
      </w:tr>
      <w:tr>
        <w:tblPrEx>
          <w:shd w:val="clear" w:color="auto" w:fill="FFFFFF"/>
          <w:tblLayout w:type="fixed"/>
          <w:tblCellMar>
            <w:top w:w="0" w:type="dxa"/>
            <w:left w:w="0" w:type="dxa"/>
            <w:bottom w:w="0" w:type="dxa"/>
            <w:right w:w="0" w:type="dxa"/>
          </w:tblCellMar>
        </w:tblPrEx>
        <w:trPr>
          <w:trHeight w:val="399" w:hRule="atLeast"/>
        </w:trPr>
        <w:tc>
          <w:tcPr>
            <w:tcW w:w="125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p>
        </w:tc>
        <w:tc>
          <w:tcPr>
            <w:tcW w:w="4086" w:type="dxa"/>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2"/>
              </w:rPr>
              <w:t>★</w:t>
            </w:r>
            <w:r>
              <w:rPr>
                <w:rFonts w:hint="eastAsia" w:ascii="仿宋" w:hAnsi="仿宋" w:eastAsia="仿宋" w:cs="仿宋"/>
                <w:sz w:val="24"/>
              </w:rPr>
              <w:t>电池电量(kWh)</w:t>
            </w:r>
          </w:p>
        </w:tc>
        <w:tc>
          <w:tcPr>
            <w:tcW w:w="3530" w:type="dxa"/>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color w:val="auto"/>
                <w:sz w:val="24"/>
              </w:rPr>
            </w:pPr>
            <w:r>
              <w:rPr>
                <w:rFonts w:hint="eastAsia" w:ascii="仿宋" w:hAnsi="仿宋" w:eastAsia="仿宋" w:cs="仿宋"/>
                <w:color w:val="auto"/>
                <w:sz w:val="24"/>
                <w:highlight w:val="none"/>
              </w:rPr>
              <w:t>≥60</w:t>
            </w:r>
          </w:p>
        </w:tc>
      </w:tr>
      <w:tr>
        <w:tblPrEx>
          <w:tblLayout w:type="fixed"/>
          <w:tblCellMar>
            <w:top w:w="0" w:type="dxa"/>
            <w:left w:w="0" w:type="dxa"/>
            <w:bottom w:w="0" w:type="dxa"/>
            <w:right w:w="0" w:type="dxa"/>
          </w:tblCellMar>
        </w:tblPrEx>
        <w:trPr>
          <w:trHeight w:val="454" w:hRule="atLeast"/>
        </w:trPr>
        <w:tc>
          <w:tcPr>
            <w:tcW w:w="1258" w:type="dxa"/>
            <w:vMerge w:val="continue"/>
            <w:tcBorders>
              <w:top w:val="single" w:color="auto" w:sz="8" w:space="0"/>
              <w:left w:val="single" w:color="auto" w:sz="8" w:space="0"/>
              <w:bottom w:val="single" w:color="auto" w:sz="8" w:space="0"/>
              <w:right w:val="single" w:color="auto" w:sz="8" w:space="0"/>
            </w:tcBorders>
            <w:shd w:val="clear" w:color="auto" w:fill="FFFFFF"/>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4"/>
              <w:pageBreakBefore w:val="0"/>
              <w:widowControl/>
              <w:kinsoku w:val="0"/>
              <w:wordWrap/>
              <w:overflowPunct w:val="0"/>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2"/>
              </w:rPr>
              <w:t>★</w:t>
            </w:r>
            <w:r>
              <w:rPr>
                <w:rFonts w:hint="eastAsia" w:ascii="仿宋" w:hAnsi="仿宋" w:eastAsia="仿宋" w:cs="仿宋"/>
                <w:sz w:val="24"/>
              </w:rPr>
              <w:t>底盘驱动电机峰值功率（kW）</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100</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r>
              <w:rPr>
                <w:rFonts w:hint="eastAsia" w:ascii="仿宋" w:hAnsi="仿宋" w:eastAsia="仿宋" w:cs="仿宋"/>
                <w:sz w:val="24"/>
              </w:rPr>
              <w:t>专用部分</w:t>
            </w: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清水箱容积（m³）</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color w:val="auto"/>
                <w:sz w:val="24"/>
                <w:lang w:val="en-US" w:eastAsia="zh-CN"/>
              </w:rPr>
              <w:t>1.6</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r>
              <w:rPr>
                <w:rFonts w:hint="eastAsia" w:ascii="仿宋" w:hAnsi="仿宋" w:eastAsia="仿宋" w:cs="仿宋"/>
                <w:sz w:val="24"/>
              </w:rPr>
              <w:t>垃圾箱有效容积（m³）</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≥1.1</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r>
              <w:rPr>
                <w:rFonts w:hint="eastAsia" w:ascii="仿宋" w:hAnsi="仿宋" w:eastAsia="仿宋" w:cs="仿宋"/>
                <w:sz w:val="24"/>
              </w:rPr>
              <w:t>洗扫宽度（m）</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≥2.5</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r>
              <w:rPr>
                <w:rFonts w:hint="eastAsia" w:ascii="仿宋" w:hAnsi="仿宋" w:eastAsia="仿宋" w:cs="仿宋"/>
                <w:sz w:val="24"/>
              </w:rPr>
              <w:t>车速（km/h）</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≥80</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r>
              <w:rPr>
                <w:rFonts w:hint="eastAsia" w:ascii="仿宋" w:hAnsi="仿宋" w:eastAsia="仿宋" w:cs="仿宋"/>
                <w:sz w:val="24"/>
              </w:rPr>
              <w:t>洗扫净率（%）</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≥95</w:t>
            </w:r>
          </w:p>
        </w:tc>
      </w:tr>
      <w:tr>
        <w:tblPrEx>
          <w:shd w:val="clear" w:color="auto" w:fill="FFFFFF"/>
          <w:tblLayout w:type="fixed"/>
          <w:tblCellMar>
            <w:top w:w="0" w:type="dxa"/>
            <w:left w:w="0" w:type="dxa"/>
            <w:bottom w:w="0" w:type="dxa"/>
            <w:right w:w="0" w:type="dxa"/>
          </w:tblCellMar>
        </w:tblPrEx>
        <w:trPr>
          <w:trHeight w:val="454" w:hRule="atLeast"/>
        </w:trPr>
        <w:tc>
          <w:tcPr>
            <w:tcW w:w="1258" w:type="dxa"/>
            <w:vMerge w:val="continue"/>
            <w:tcBorders>
              <w:left w:val="single" w:color="auto" w:sz="8" w:space="0"/>
              <w:bottom w:val="single" w:color="auto" w:sz="4"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jc w:val="center"/>
              <w:textAlignment w:val="auto"/>
              <w:rPr>
                <w:rFonts w:ascii="仿宋" w:hAnsi="仿宋" w:eastAsia="仿宋" w:cs="仿宋"/>
                <w:sz w:val="24"/>
              </w:rPr>
            </w:pPr>
          </w:p>
        </w:tc>
        <w:tc>
          <w:tcPr>
            <w:tcW w:w="408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line="440" w:lineRule="exact"/>
              <w:jc w:val="left"/>
              <w:textAlignment w:val="auto"/>
              <w:rPr>
                <w:rFonts w:ascii="仿宋" w:hAnsi="仿宋" w:eastAsia="仿宋" w:cs="仿宋"/>
                <w:sz w:val="24"/>
              </w:rPr>
            </w:pPr>
            <w:r>
              <w:rPr>
                <w:rFonts w:hint="eastAsia" w:ascii="仿宋" w:hAnsi="仿宋" w:eastAsia="仿宋" w:cs="仿宋"/>
                <w:sz w:val="24"/>
              </w:rPr>
              <w:t>风机电机功率（kw）</w:t>
            </w:r>
          </w:p>
        </w:tc>
        <w:tc>
          <w:tcPr>
            <w:tcW w:w="35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ageBreakBefore w:val="0"/>
              <w:widowControl/>
              <w:wordWrap/>
              <w:topLinePunct w:val="0"/>
              <w:autoSpaceDE/>
              <w:autoSpaceDN/>
              <w:bidi w:val="0"/>
              <w:adjustRightInd/>
              <w:snapToGrid/>
              <w:spacing w:before="100" w:beforeAutospacing="1" w:after="100" w:afterAutospacing="1" w:line="440" w:lineRule="exact"/>
              <w:textAlignment w:val="auto"/>
              <w:rPr>
                <w:rFonts w:ascii="仿宋" w:hAnsi="仿宋" w:eastAsia="仿宋" w:cs="仿宋"/>
                <w:sz w:val="24"/>
              </w:rPr>
            </w:pPr>
            <w:r>
              <w:rPr>
                <w:rFonts w:hint="eastAsia" w:ascii="仿宋" w:hAnsi="仿宋" w:eastAsia="仿宋" w:cs="仿宋"/>
                <w:sz w:val="24"/>
              </w:rPr>
              <w:t>≥25</w:t>
            </w:r>
          </w:p>
        </w:tc>
      </w:tr>
    </w:tbl>
    <w:p>
      <w:pPr>
        <w:pStyle w:val="43"/>
        <w:pageBreakBefore w:val="0"/>
        <w:tabs>
          <w:tab w:val="left" w:pos="1080"/>
          <w:tab w:val="left" w:pos="1260"/>
          <w:tab w:val="left" w:pos="1620"/>
          <w:tab w:val="left" w:pos="1800"/>
          <w:tab w:val="left" w:pos="1980"/>
          <w:tab w:val="left" w:pos="2160"/>
        </w:tabs>
        <w:wordWrap/>
        <w:topLinePunct w:val="0"/>
        <w:autoSpaceDE/>
        <w:autoSpaceDN/>
        <w:bidi w:val="0"/>
        <w:adjustRightInd/>
        <w:snapToGrid/>
        <w:spacing w:after="120" w:afterLines="50" w:line="440" w:lineRule="exact"/>
        <w:textAlignment w:val="auto"/>
        <w:rPr>
          <w:rFonts w:ascii="仿宋" w:hAnsi="仿宋" w:eastAsia="仿宋" w:cs="仿宋"/>
          <w:szCs w:val="21"/>
        </w:rPr>
      </w:pPr>
    </w:p>
    <w:p>
      <w:pPr>
        <w:pageBreakBefore w:val="0"/>
        <w:wordWrap/>
        <w:topLinePunct w:val="0"/>
        <w:autoSpaceDE/>
        <w:autoSpaceDN/>
        <w:bidi w:val="0"/>
        <w:adjustRightInd/>
        <w:snapToGrid/>
        <w:spacing w:line="440" w:lineRule="exact"/>
        <w:textAlignment w:val="auto"/>
        <w:rPr>
          <w:rFonts w:ascii="仿宋" w:hAnsi="仿宋" w:eastAsia="仿宋" w:cs="仿宋"/>
          <w:b/>
          <w:bCs/>
          <w:color w:val="000000"/>
          <w:sz w:val="24"/>
        </w:rPr>
      </w:pPr>
      <w:r>
        <w:rPr>
          <w:rFonts w:hint="eastAsia" w:ascii="仿宋" w:hAnsi="仿宋" w:eastAsia="仿宋" w:cs="仿宋"/>
          <w:b/>
          <w:bCs/>
          <w:szCs w:val="21"/>
        </w:rPr>
        <w:t>（2）</w:t>
      </w:r>
      <w:r>
        <w:rPr>
          <w:rFonts w:hint="eastAsia" w:ascii="仿宋" w:hAnsi="仿宋" w:eastAsia="仿宋" w:cs="仿宋"/>
          <w:b/>
          <w:bCs/>
          <w:color w:val="000000"/>
          <w:sz w:val="24"/>
        </w:rPr>
        <w:t>产品主要性能要求:</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bidi="ar"/>
        </w:rPr>
        <w:t>▲</w:t>
      </w:r>
      <w:r>
        <w:rPr>
          <w:rStyle w:val="226"/>
          <w:rFonts w:hint="default" w:ascii="仿宋" w:hAnsi="仿宋" w:eastAsia="仿宋" w:cs="仿宋"/>
          <w:sz w:val="24"/>
        </w:rPr>
        <w:t>整车三电（电池、电机和电控系统）安全可靠，质保期不小于5年；</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（2）底盘采用永磁同步电机，具有制动能量回馈功能；</w:t>
      </w:r>
    </w:p>
    <w:p>
      <w:pPr>
        <w:pageBreakBefore w:val="0"/>
        <w:widowControl/>
        <w:wordWrap/>
        <w:topLinePunct w:val="0"/>
        <w:autoSpaceDE/>
        <w:autoSpaceDN/>
        <w:bidi w:val="0"/>
        <w:adjustRightInd/>
        <w:snapToGrid/>
        <w:spacing w:line="440" w:lineRule="exact"/>
        <w:textAlignment w:val="auto"/>
        <w:rPr>
          <w:rFonts w:ascii="仿宋" w:hAnsi="仿宋" w:eastAsia="仿宋" w:cs="仿宋"/>
          <w:color w:val="000000"/>
          <w:sz w:val="24"/>
        </w:rPr>
      </w:pPr>
      <w:r>
        <w:rPr>
          <w:rFonts w:hint="eastAsia" w:ascii="仿宋" w:hAnsi="仿宋" w:eastAsia="仿宋" w:cs="仿宋"/>
          <w:sz w:val="24"/>
        </w:rPr>
        <w:t>（3）驱动电机、整车控制器防护等级达到IP67，电池防护等级达到IP68，确保整车安全</w:t>
      </w:r>
      <w:r>
        <w:rPr>
          <w:rFonts w:hint="eastAsia" w:ascii="仿宋" w:hAnsi="仿宋" w:eastAsia="仿宋" w:cs="仿宋"/>
          <w:color w:val="000000"/>
          <w:sz w:val="24"/>
        </w:rPr>
        <w:t>；</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4"/>
        </w:rPr>
      </w:pPr>
      <w:r>
        <w:rPr>
          <w:rFonts w:hint="eastAsia" w:ascii="仿宋" w:hAnsi="仿宋" w:eastAsia="仿宋" w:cs="仿宋"/>
          <w:sz w:val="24"/>
        </w:rPr>
        <w:t>（4）</w:t>
      </w:r>
      <w:r>
        <w:rPr>
          <w:rFonts w:hint="eastAsia" w:ascii="仿宋" w:hAnsi="仿宋" w:eastAsia="仿宋" w:cs="仿宋"/>
          <w:color w:val="000000"/>
          <w:sz w:val="24"/>
        </w:rPr>
        <w:t>为提高驾驶的舒适性，底盘驾驶室内需配备冷暖空调；</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（5）采用“中置两立扫＋中置宽吸嘴内置高压水喷杆＋高压侧喷杆”技术结构，集扫路车和清洗车于一体，一车多用。</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 xml:space="preserve">（6）具有道路清扫、污水回收、箱体自洁等多种作业功能； </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（7）高压水泵采用柱塞泵，当高压水泵启动及工作水阀切换时，水路系统能自动卸荷，降低额外电耗，水箱内设有低水位传感报警系统，无水时自动报警，防止水泵缺水损坏；</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（8）</w:t>
      </w:r>
      <w:r>
        <w:rPr>
          <w:rFonts w:hint="eastAsia" w:ascii="仿宋" w:hAnsi="仿宋" w:eastAsia="仿宋" w:cs="仿宋"/>
          <w:sz w:val="24"/>
          <w:lang w:bidi="ar"/>
        </w:rPr>
        <w:t>▲</w:t>
      </w:r>
      <w:r>
        <w:rPr>
          <w:rFonts w:hint="eastAsia" w:ascii="仿宋" w:hAnsi="仿宋" w:eastAsia="仿宋" w:cs="仿宋"/>
          <w:sz w:val="24"/>
        </w:rPr>
        <w:t>污水箱采用不锈钢材质制作，强度可靠，耐腐蚀性强；</w:t>
      </w:r>
    </w:p>
    <w:p>
      <w:pPr>
        <w:pageBreakBefore w:val="0"/>
        <w:wordWrap/>
        <w:topLinePunct w:val="0"/>
        <w:autoSpaceDE/>
        <w:autoSpaceDN/>
        <w:bidi w:val="0"/>
        <w:adjustRightInd/>
        <w:snapToGrid/>
        <w:spacing w:line="440" w:lineRule="exact"/>
        <w:textAlignment w:val="auto"/>
        <w:rPr>
          <w:rFonts w:ascii="仿宋" w:hAnsi="仿宋" w:eastAsia="仿宋" w:cs="仿宋"/>
          <w:sz w:val="24"/>
        </w:rPr>
      </w:pPr>
      <w:r>
        <w:rPr>
          <w:rFonts w:hint="eastAsia" w:ascii="仿宋" w:hAnsi="仿宋" w:eastAsia="仿宋" w:cs="仿宋"/>
          <w:sz w:val="24"/>
        </w:rPr>
        <w:t>（9）采用CAN总线控制技术，常用作业模式实现一键操作，并且需拥有故障智能诊断功能。</w:t>
      </w:r>
    </w:p>
    <w:p>
      <w:pPr>
        <w:pStyle w:val="14"/>
        <w:pageBreakBefore w:val="0"/>
        <w:wordWrap/>
        <w:topLinePunct w:val="0"/>
        <w:autoSpaceDE/>
        <w:autoSpaceDN/>
        <w:bidi w:val="0"/>
        <w:adjustRightInd/>
        <w:snapToGrid/>
        <w:spacing w:line="440" w:lineRule="exact"/>
        <w:textAlignment w:val="auto"/>
        <w:rPr>
          <w:rFonts w:ascii="仿宋" w:hAnsi="仿宋" w:eastAsia="仿宋" w:cs="仿宋"/>
          <w:color w:val="auto"/>
        </w:rPr>
      </w:pPr>
      <w:r>
        <w:rPr>
          <w:rFonts w:hint="eastAsia" w:ascii="仿宋" w:hAnsi="仿宋" w:eastAsia="仿宋" w:cs="仿宋"/>
          <w:sz w:val="24"/>
        </w:rPr>
        <w:t>（10）</w:t>
      </w:r>
      <w:r>
        <w:rPr>
          <w:rFonts w:hint="eastAsia" w:ascii="仿宋" w:hAnsi="仿宋" w:eastAsia="仿宋" w:cs="仿宋"/>
          <w:sz w:val="24"/>
          <w:lang w:bidi="ar"/>
        </w:rPr>
        <w:t>▲</w:t>
      </w:r>
      <w:r>
        <w:rPr>
          <w:rFonts w:hint="eastAsia" w:ascii="仿宋" w:hAnsi="仿宋" w:eastAsia="仿宋" w:cs="仿宋"/>
          <w:sz w:val="24"/>
        </w:rPr>
        <w:t>车辆</w:t>
      </w:r>
      <w:r>
        <w:rPr>
          <w:rFonts w:hint="eastAsia" w:ascii="仿宋" w:hAnsi="仿宋" w:eastAsia="仿宋" w:cs="仿宋"/>
          <w:color w:val="auto"/>
          <w:sz w:val="24"/>
        </w:rPr>
        <w:t>需具备上装智能启停功能，车辆在等红绿灯不需作业时，扫盘和喷嘴自动关闭，节省能耗。</w:t>
      </w:r>
    </w:p>
    <w:p>
      <w:pPr>
        <w:pageBreakBefore w:val="0"/>
        <w:widowControl/>
        <w:wordWrap/>
        <w:topLinePunct w:val="0"/>
        <w:autoSpaceDE/>
        <w:autoSpaceDN/>
        <w:bidi w:val="0"/>
        <w:adjustRightInd/>
        <w:snapToGrid/>
        <w:spacing w:line="440" w:lineRule="exact"/>
        <w:textAlignment w:val="auto"/>
        <w:rPr>
          <w:color w:val="auto"/>
        </w:rPr>
      </w:pPr>
      <w:r>
        <w:rPr>
          <w:rFonts w:hint="eastAsia" w:ascii="仿宋" w:hAnsi="仿宋" w:eastAsia="仿宋" w:cs="仿宋"/>
          <w:color w:val="auto"/>
          <w:sz w:val="24"/>
        </w:rPr>
        <w:t>（11）</w:t>
      </w:r>
      <w:r>
        <w:rPr>
          <w:rFonts w:hint="eastAsia" w:ascii="仿宋" w:hAnsi="仿宋" w:eastAsia="仿宋" w:cs="仿宋"/>
          <w:color w:val="auto"/>
          <w:sz w:val="24"/>
          <w:lang w:bidi="ar"/>
        </w:rPr>
        <w:t>▲</w:t>
      </w:r>
      <w:r>
        <w:rPr>
          <w:rFonts w:hint="eastAsia" w:ascii="仿宋" w:hAnsi="仿宋" w:eastAsia="仿宋" w:cs="仿宋"/>
          <w:color w:val="auto"/>
          <w:sz w:val="24"/>
        </w:rPr>
        <w:t>车辆配备智能监控系统，利用车载监控终端采集整车运行数据并上传到监控平台，实现对车辆信息的监控、显示和数据存储，可通过微信小程序端、PC端</w:t>
      </w:r>
      <w:r>
        <w:rPr>
          <w:rFonts w:hint="eastAsia" w:ascii="仿宋" w:hAnsi="仿宋" w:eastAsia="仿宋" w:cs="仿宋"/>
          <w:color w:val="auto"/>
          <w:sz w:val="24"/>
          <w:lang w:eastAsia="zh-CN"/>
        </w:rPr>
        <w:t>等</w:t>
      </w:r>
      <w:r>
        <w:rPr>
          <w:rFonts w:hint="eastAsia" w:ascii="仿宋" w:hAnsi="仿宋" w:eastAsia="仿宋" w:cs="仿宋"/>
          <w:color w:val="auto"/>
          <w:sz w:val="24"/>
        </w:rPr>
        <w:t>版本实时查看车辆位置、配件管理（方便查询配件规格和数量、便捷维修更换）、还能实现重要故障、低温结冰预警、维修保养</w:t>
      </w:r>
      <w:r>
        <w:rPr>
          <w:rFonts w:hint="eastAsia" w:ascii="仿宋" w:hAnsi="仿宋" w:eastAsia="仿宋" w:cs="仿宋"/>
          <w:color w:val="auto"/>
          <w:sz w:val="24"/>
          <w:lang w:val="en-US" w:eastAsia="zh-CN"/>
        </w:rPr>
        <w:t>等消息一键上报。</w:t>
      </w:r>
      <w:r>
        <w:rPr>
          <w:rFonts w:hint="eastAsia" w:ascii="仿宋" w:hAnsi="仿宋" w:eastAsia="仿宋" w:cs="仿宋"/>
          <w:color w:val="auto"/>
          <w:sz w:val="24"/>
        </w:rPr>
        <w:t>（需提供承诺函并与实际交付车辆保持一致）。</w:t>
      </w:r>
    </w:p>
    <w:p>
      <w:pPr>
        <w:pageBreakBefore w:val="0"/>
        <w:wordWrap/>
        <w:topLinePunct w:val="0"/>
        <w:autoSpaceDE/>
        <w:autoSpaceDN/>
        <w:bidi w:val="0"/>
        <w:adjustRightInd/>
        <w:snapToGrid/>
        <w:spacing w:line="440" w:lineRule="exact"/>
        <w:textAlignment w:val="auto"/>
        <w:rPr>
          <w:rFonts w:ascii="仿宋" w:hAnsi="仿宋" w:eastAsia="仿宋" w:cs="仿宋"/>
          <w:b/>
          <w:bCs/>
          <w:sz w:val="28"/>
          <w:szCs w:val="28"/>
        </w:rPr>
      </w:pPr>
      <w:r>
        <w:rPr>
          <w:rFonts w:hint="eastAsia" w:ascii="仿宋" w:hAnsi="仿宋" w:eastAsia="仿宋" w:cs="仿宋"/>
          <w:b/>
          <w:bCs/>
          <w:color w:val="auto"/>
          <w:sz w:val="28"/>
          <w:szCs w:val="28"/>
        </w:rPr>
        <w:br w:type="page"/>
      </w:r>
    </w:p>
    <w:p>
      <w:pPr>
        <w:pageBreakBefore w:val="0"/>
        <w:wordWrap/>
        <w:topLinePunct w:val="0"/>
        <w:autoSpaceDE/>
        <w:autoSpaceDN/>
        <w:bidi w:val="0"/>
        <w:adjustRightInd/>
        <w:snapToGrid/>
        <w:spacing w:line="440" w:lineRule="exact"/>
        <w:ind w:firstLine="560"/>
        <w:textAlignment w:val="auto"/>
        <w:rPr>
          <w:rFonts w:ascii="仿宋" w:hAnsi="仿宋" w:eastAsia="仿宋" w:cs="仿宋"/>
          <w:b/>
          <w:bCs/>
          <w:sz w:val="28"/>
          <w:szCs w:val="28"/>
          <w:lang w:val="zh-CN"/>
        </w:rPr>
      </w:pPr>
      <w:r>
        <w:rPr>
          <w:rFonts w:hint="eastAsia" w:ascii="仿宋" w:hAnsi="仿宋" w:eastAsia="仿宋" w:cs="仿宋"/>
          <w:b/>
          <w:bCs/>
          <w:sz w:val="28"/>
          <w:szCs w:val="28"/>
        </w:rPr>
        <w:t>五</w:t>
      </w:r>
      <w:r>
        <w:rPr>
          <w:rFonts w:hint="eastAsia" w:ascii="仿宋" w:hAnsi="仿宋" w:eastAsia="仿宋" w:cs="仿宋"/>
          <w:b/>
          <w:bCs/>
          <w:sz w:val="28"/>
          <w:szCs w:val="28"/>
          <w:lang w:val="zh-CN"/>
        </w:rPr>
        <w:t>、项目实施要求</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1.交货地点：新沂市新华路西建委综合楼（以招标人指定地点为准）。</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2.供货时间：合同签</w:t>
      </w:r>
      <w:r>
        <w:rPr>
          <w:rFonts w:hint="eastAsia" w:ascii="仿宋" w:hAnsi="仿宋" w:eastAsia="仿宋" w:cs="仿宋"/>
          <w:color w:val="000000"/>
          <w:sz w:val="28"/>
          <w:szCs w:val="28"/>
        </w:rPr>
        <w:t>订之日起30日内交货并调试完毕。</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3.向采购人提供全方位、及时而有效的技术支持和服务。</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4.负责供货、安装、调试、培训。</w:t>
      </w:r>
    </w:p>
    <w:p>
      <w:pPr>
        <w:pageBreakBefore w:val="0"/>
        <w:wordWrap/>
        <w:topLinePunct w:val="0"/>
        <w:autoSpaceDE/>
        <w:autoSpaceDN/>
        <w:bidi w:val="0"/>
        <w:adjustRightInd/>
        <w:snapToGrid/>
        <w:spacing w:line="440" w:lineRule="exact"/>
        <w:ind w:firstLine="560"/>
        <w:textAlignment w:val="auto"/>
        <w:rPr>
          <w:rFonts w:ascii="仿宋" w:hAnsi="仿宋" w:eastAsia="仿宋" w:cs="仿宋"/>
          <w:color w:val="auto"/>
          <w:sz w:val="28"/>
          <w:szCs w:val="28"/>
        </w:rPr>
      </w:pPr>
      <w:r>
        <w:rPr>
          <w:rFonts w:hint="eastAsia" w:ascii="仿宋" w:hAnsi="仿宋" w:eastAsia="仿宋" w:cs="仿宋"/>
          <w:sz w:val="28"/>
          <w:szCs w:val="28"/>
        </w:rPr>
        <w:t>5.交车时</w:t>
      </w:r>
      <w:r>
        <w:rPr>
          <w:rFonts w:hint="eastAsia" w:ascii="仿宋" w:hAnsi="仿宋" w:eastAsia="仿宋" w:cs="仿宋"/>
          <w:color w:val="auto"/>
          <w:sz w:val="28"/>
          <w:szCs w:val="28"/>
        </w:rPr>
        <w:t>需提供车辆上牌手续及车辆使用说明书。</w:t>
      </w:r>
    </w:p>
    <w:p>
      <w:pPr>
        <w:pageBreakBefore w:val="0"/>
        <w:wordWrap/>
        <w:topLinePunct w:val="0"/>
        <w:autoSpaceDE/>
        <w:autoSpaceDN/>
        <w:bidi w:val="0"/>
        <w:adjustRightInd/>
        <w:snapToGrid/>
        <w:spacing w:line="440" w:lineRule="exact"/>
        <w:ind w:firstLine="560"/>
        <w:textAlignment w:val="auto"/>
        <w:rPr>
          <w:rFonts w:ascii="仿宋" w:hAnsi="仿宋" w:eastAsia="仿宋" w:cs="仿宋"/>
          <w:color w:val="auto"/>
          <w:sz w:val="28"/>
          <w:szCs w:val="28"/>
        </w:rPr>
      </w:pPr>
      <w:r>
        <w:rPr>
          <w:rFonts w:hint="eastAsia" w:ascii="仿宋" w:hAnsi="仿宋" w:eastAsia="仿宋" w:cs="仿宋"/>
          <w:color w:val="auto"/>
          <w:sz w:val="28"/>
          <w:szCs w:val="28"/>
        </w:rPr>
        <w:t>6.缴纳车辆购置税的费用，协助采购人办理车辆上牌手续。</w:t>
      </w:r>
    </w:p>
    <w:p>
      <w:pPr>
        <w:pageBreakBefore w:val="0"/>
        <w:wordWrap/>
        <w:topLinePunct w:val="0"/>
        <w:autoSpaceDE/>
        <w:autoSpaceDN/>
        <w:bidi w:val="0"/>
        <w:adjustRightInd/>
        <w:snapToGrid/>
        <w:spacing w:line="440" w:lineRule="exact"/>
        <w:ind w:firstLine="560"/>
        <w:textAlignment w:val="auto"/>
        <w:rPr>
          <w:rFonts w:ascii="仿宋" w:hAnsi="仿宋" w:eastAsia="仿宋" w:cs="仿宋"/>
          <w:color w:val="auto"/>
          <w:sz w:val="28"/>
          <w:szCs w:val="28"/>
        </w:rPr>
      </w:pPr>
      <w:r>
        <w:rPr>
          <w:rFonts w:hint="eastAsia" w:ascii="仿宋" w:hAnsi="仿宋" w:eastAsia="仿宋" w:cs="仿宋"/>
          <w:color w:val="auto"/>
          <w:sz w:val="28"/>
          <w:szCs w:val="28"/>
        </w:rPr>
        <w:t>7.货物的生产、安装、维修、检验、验收等按照以下原则执行：</w:t>
      </w:r>
    </w:p>
    <w:p>
      <w:pPr>
        <w:pageBreakBefore w:val="0"/>
        <w:wordWrap/>
        <w:topLinePunct w:val="0"/>
        <w:autoSpaceDE/>
        <w:autoSpaceDN/>
        <w:bidi w:val="0"/>
        <w:adjustRightInd/>
        <w:snapToGrid/>
        <w:spacing w:line="440" w:lineRule="exact"/>
        <w:ind w:firstLine="560"/>
        <w:textAlignment w:val="auto"/>
        <w:rPr>
          <w:rFonts w:ascii="仿宋" w:hAnsi="仿宋" w:eastAsia="仿宋" w:cs="仿宋"/>
          <w:color w:val="auto"/>
          <w:sz w:val="28"/>
          <w:szCs w:val="28"/>
        </w:rPr>
      </w:pPr>
      <w:r>
        <w:rPr>
          <w:rFonts w:hint="eastAsia" w:ascii="仿宋" w:hAnsi="仿宋" w:eastAsia="仿宋" w:cs="仿宋"/>
          <w:color w:val="auto"/>
          <w:sz w:val="28"/>
          <w:szCs w:val="28"/>
        </w:rPr>
        <w:t>有国家标准的执行国家标准；无国家标准的执行行业标准；无行业标准的执行地方标准；无地方标准的执行企业标准。</w:t>
      </w:r>
    </w:p>
    <w:p>
      <w:pPr>
        <w:pageBreakBefore w:val="0"/>
        <w:wordWrap/>
        <w:topLinePunct w:val="0"/>
        <w:autoSpaceDE/>
        <w:autoSpaceDN/>
        <w:bidi w:val="0"/>
        <w:adjustRightInd/>
        <w:snapToGrid/>
        <w:spacing w:line="440" w:lineRule="exact"/>
        <w:ind w:firstLine="560"/>
        <w:textAlignment w:val="auto"/>
        <w:rPr>
          <w:rFonts w:ascii="仿宋" w:hAnsi="仿宋" w:eastAsia="仿宋" w:cs="仿宋"/>
          <w:color w:val="auto"/>
          <w:sz w:val="28"/>
          <w:szCs w:val="28"/>
        </w:rPr>
      </w:pPr>
      <w:r>
        <w:rPr>
          <w:rFonts w:hint="eastAsia" w:ascii="仿宋" w:hAnsi="仿宋" w:eastAsia="仿宋" w:cs="仿宋"/>
          <w:color w:val="auto"/>
          <w:sz w:val="28"/>
          <w:szCs w:val="28"/>
        </w:rPr>
        <w:t>8.货物（包括零部件、随车器材）须为全新的、未使用过的原装正品，并完全符合国家质量标准，提供厂家出具的合格证书、有国家强制性认证要求的产品须提供3C证书。</w:t>
      </w:r>
    </w:p>
    <w:p>
      <w:pPr>
        <w:pageBreakBefore w:val="0"/>
        <w:wordWrap/>
        <w:topLinePunct w:val="0"/>
        <w:autoSpaceDE/>
        <w:autoSpaceDN/>
        <w:bidi w:val="0"/>
        <w:adjustRightInd/>
        <w:snapToGrid/>
        <w:spacing w:line="440" w:lineRule="exact"/>
        <w:ind w:firstLine="560"/>
        <w:textAlignment w:val="auto"/>
        <w:rPr>
          <w:rFonts w:ascii="仿宋" w:hAnsi="仿宋" w:eastAsia="仿宋" w:cs="仿宋"/>
          <w:color w:val="auto"/>
          <w:sz w:val="28"/>
          <w:szCs w:val="28"/>
        </w:rPr>
      </w:pPr>
      <w:r>
        <w:rPr>
          <w:rFonts w:hint="eastAsia" w:ascii="仿宋" w:hAnsi="仿宋" w:eastAsia="仿宋" w:cs="仿宋"/>
          <w:color w:val="auto"/>
          <w:sz w:val="28"/>
          <w:szCs w:val="28"/>
        </w:rPr>
        <w:t>9.验收</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2）货物送到项目实施现场后，中标人与采购人一起按合同货物清单依合同标准进行货物验收。货物在验收时，中标人应提供发票、制造厂家出具的产品合格证书、装箱清单等，提供有关货物的操作规程和使用说明书，维护手册、保养修理所需的各种随车工具及相关设计、制造、检验、安装、技术性指导等文件。</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验收中发现货物达不到验收标准或合同规定的性能指标，中标人必须更换，并且赔偿由此给采购人造成的损失。</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(3) 验收时需提交的书面文件</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①采购标的所有检测报告及证明文件；</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②所有标的合格证明文件；</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③保修卡或保修手册；</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④车辆上牌手续及使用说明手册（中文）；</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⑤设备配置详单。</w:t>
      </w:r>
    </w:p>
    <w:p>
      <w:pPr>
        <w:pageBreakBefore w:val="0"/>
        <w:wordWrap/>
        <w:topLinePunct w:val="0"/>
        <w:autoSpaceDE/>
        <w:autoSpaceDN/>
        <w:bidi w:val="0"/>
        <w:adjustRightInd/>
        <w:snapToGrid/>
        <w:spacing w:line="440" w:lineRule="exact"/>
        <w:ind w:firstLine="560"/>
        <w:textAlignment w:val="auto"/>
        <w:rPr>
          <w:rFonts w:ascii="仿宋" w:hAnsi="仿宋" w:eastAsia="仿宋" w:cs="仿宋"/>
          <w:b/>
          <w:bCs/>
          <w:sz w:val="28"/>
          <w:szCs w:val="28"/>
          <w:lang w:val="zh-CN"/>
        </w:rPr>
      </w:pPr>
      <w:r>
        <w:rPr>
          <w:rFonts w:hint="eastAsia" w:ascii="仿宋" w:hAnsi="仿宋" w:eastAsia="仿宋" w:cs="仿宋"/>
          <w:b/>
          <w:bCs/>
          <w:sz w:val="28"/>
          <w:szCs w:val="28"/>
        </w:rPr>
        <w:t>六</w:t>
      </w:r>
      <w:r>
        <w:rPr>
          <w:rFonts w:hint="eastAsia" w:ascii="仿宋" w:hAnsi="仿宋" w:eastAsia="仿宋" w:cs="仿宋"/>
          <w:b/>
          <w:bCs/>
          <w:sz w:val="28"/>
          <w:szCs w:val="28"/>
          <w:lang w:val="zh-CN"/>
        </w:rPr>
        <w:t>、售后服务及质保要求</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color w:val="auto"/>
          <w:sz w:val="28"/>
          <w:szCs w:val="28"/>
          <w:lang w:val="zh-CN"/>
        </w:rPr>
        <w:t>供应商须</w:t>
      </w:r>
      <w:r>
        <w:rPr>
          <w:rFonts w:hint="eastAsia" w:ascii="仿宋" w:hAnsi="仿宋" w:eastAsia="仿宋" w:cs="仿宋"/>
          <w:color w:val="auto"/>
          <w:sz w:val="28"/>
          <w:szCs w:val="28"/>
        </w:rPr>
        <w:t>提供至少</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年整车免费质保服务。在</w:t>
      </w:r>
      <w:r>
        <w:rPr>
          <w:rFonts w:hint="eastAsia" w:ascii="仿宋" w:hAnsi="仿宋" w:eastAsia="仿宋" w:cs="仿宋"/>
          <w:color w:val="auto"/>
          <w:sz w:val="28"/>
          <w:szCs w:val="28"/>
          <w:lang w:val="zh-CN"/>
        </w:rPr>
        <w:t>质保期</w:t>
      </w:r>
      <w:r>
        <w:rPr>
          <w:rFonts w:hint="eastAsia" w:ascii="仿宋" w:hAnsi="仿宋" w:eastAsia="仿宋" w:cs="仿宋"/>
          <w:color w:val="auto"/>
          <w:sz w:val="28"/>
          <w:szCs w:val="28"/>
        </w:rPr>
        <w:t>内，一旦发生质量问题，供应商保证在接到通知1小时响应，24小时内必须上门或者出具详细的解决方案</w:t>
      </w:r>
      <w:r>
        <w:rPr>
          <w:rFonts w:hint="eastAsia" w:ascii="仿宋" w:hAnsi="仿宋" w:eastAsia="仿宋" w:cs="仿宋"/>
          <w:sz w:val="28"/>
          <w:szCs w:val="28"/>
        </w:rPr>
        <w:t>。</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lang w:val="zh-CN"/>
        </w:rPr>
      </w:pPr>
      <w:r>
        <w:rPr>
          <w:rFonts w:hint="eastAsia" w:ascii="仿宋" w:hAnsi="仿宋" w:eastAsia="仿宋" w:cs="仿宋"/>
          <w:sz w:val="28"/>
          <w:szCs w:val="28"/>
          <w:lang w:val="zh-CN"/>
        </w:rPr>
        <w:t>2.所有质保费用均已包含在投标报价中，质保期满后，供应商提供终生技术服务，保证零配件的供给。</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lang w:val="zh-CN"/>
        </w:rPr>
      </w:pPr>
      <w:r>
        <w:rPr>
          <w:rFonts w:hint="eastAsia" w:ascii="仿宋" w:hAnsi="仿宋" w:eastAsia="仿宋" w:cs="仿宋"/>
          <w:sz w:val="28"/>
          <w:szCs w:val="28"/>
          <w:lang w:val="zh-CN"/>
        </w:rPr>
        <w:t>3.供应商须设有维修服务电话，负责解答用户在设备使用中遇到的问题，及时提出解决问题的建议和操作方法。</w:t>
      </w:r>
    </w:p>
    <w:p>
      <w:pPr>
        <w:pageBreakBefore w:val="0"/>
        <w:wordWrap/>
        <w:topLinePunct w:val="0"/>
        <w:autoSpaceDE/>
        <w:autoSpaceDN/>
        <w:bidi w:val="0"/>
        <w:adjustRightInd/>
        <w:snapToGrid/>
        <w:spacing w:line="440" w:lineRule="exact"/>
        <w:ind w:firstLine="560"/>
        <w:textAlignment w:val="auto"/>
        <w:rPr>
          <w:rFonts w:ascii="仿宋" w:hAnsi="仿宋" w:eastAsia="仿宋" w:cs="仿宋"/>
          <w:b/>
          <w:bCs/>
          <w:sz w:val="28"/>
          <w:szCs w:val="28"/>
          <w:lang w:val="zh-CN"/>
        </w:rPr>
      </w:pPr>
      <w:r>
        <w:rPr>
          <w:rFonts w:hint="eastAsia" w:ascii="仿宋" w:hAnsi="仿宋" w:eastAsia="仿宋" w:cs="仿宋"/>
          <w:b/>
          <w:bCs/>
          <w:sz w:val="28"/>
          <w:szCs w:val="28"/>
          <w:lang w:val="zh-CN"/>
        </w:rPr>
        <w:t>七、其他要求</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lang w:val="zh-CN"/>
        </w:rPr>
      </w:pPr>
      <w:r>
        <w:rPr>
          <w:rFonts w:hint="eastAsia" w:ascii="仿宋" w:hAnsi="仿宋" w:eastAsia="仿宋" w:cs="仿宋"/>
          <w:sz w:val="28"/>
          <w:szCs w:val="28"/>
        </w:rPr>
        <w:t>1</w:t>
      </w:r>
      <w:r>
        <w:rPr>
          <w:rFonts w:hint="eastAsia" w:ascii="仿宋" w:hAnsi="仿宋" w:eastAsia="仿宋" w:cs="仿宋"/>
          <w:sz w:val="28"/>
          <w:szCs w:val="28"/>
          <w:lang w:val="zh-CN"/>
        </w:rPr>
        <w:t>.验收合格并不免除在质保期内中标人应负的责任。</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lang w:val="zh-CN"/>
        </w:rPr>
      </w:pPr>
      <w:r>
        <w:rPr>
          <w:rFonts w:hint="eastAsia" w:ascii="仿宋" w:hAnsi="仿宋" w:eastAsia="仿宋" w:cs="仿宋"/>
          <w:sz w:val="28"/>
          <w:szCs w:val="28"/>
        </w:rPr>
        <w:t>2</w:t>
      </w:r>
      <w:r>
        <w:rPr>
          <w:rFonts w:hint="eastAsia" w:ascii="仿宋" w:hAnsi="仿宋" w:eastAsia="仿宋" w:cs="仿宋"/>
          <w:sz w:val="28"/>
          <w:szCs w:val="28"/>
          <w:lang w:val="zh-CN"/>
        </w:rPr>
        <w:t>.其它要求见招标文件《拟签订的合同文本》。</w:t>
      </w:r>
    </w:p>
    <w:p>
      <w:pPr>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p>
    <w:p>
      <w:pPr>
        <w:pStyle w:val="215"/>
        <w:pageBreakBefore w:val="0"/>
        <w:wordWrap/>
        <w:topLinePunct w:val="0"/>
        <w:autoSpaceDE/>
        <w:autoSpaceDN/>
        <w:bidi w:val="0"/>
        <w:adjustRightInd/>
        <w:snapToGrid/>
        <w:spacing w:line="440" w:lineRule="exact"/>
        <w:textAlignment w:val="auto"/>
        <w:rPr>
          <w:rFonts w:ascii="仿宋" w:hAnsi="仿宋" w:eastAsia="仿宋" w:cs="仿宋"/>
          <w:sz w:val="24"/>
        </w:rPr>
      </w:pPr>
      <w:bookmarkStart w:id="30" w:name="_Toc522790136"/>
      <w:bookmarkStart w:id="31" w:name="_Toc523404701"/>
      <w:r>
        <w:rPr>
          <w:rFonts w:hint="eastAsia" w:ascii="仿宋" w:hAnsi="仿宋" w:eastAsia="仿宋" w:cs="仿宋"/>
        </w:rPr>
        <w:br w:type="page" w:clear="all"/>
      </w:r>
      <w:r>
        <w:rPr>
          <w:rFonts w:hint="eastAsia" w:ascii="仿宋" w:hAnsi="仿宋" w:eastAsia="仿宋" w:cs="仿宋"/>
        </w:rPr>
        <w:t>第七章  投标文件相关格式</w:t>
      </w:r>
      <w:bookmarkEnd w:id="30"/>
      <w:bookmarkEnd w:id="31"/>
    </w:p>
    <w:p>
      <w:pPr>
        <w:pStyle w:val="43"/>
        <w:pageBreakBefore w:val="0"/>
        <w:wordWrap/>
        <w:topLinePunct w:val="0"/>
        <w:autoSpaceDE/>
        <w:autoSpaceDN/>
        <w:bidi w:val="0"/>
        <w:adjustRightInd/>
        <w:snapToGrid/>
        <w:spacing w:line="440" w:lineRule="exact"/>
        <w:ind w:firstLine="640"/>
        <w:textAlignment w:val="auto"/>
        <w:rPr>
          <w:rFonts w:ascii="仿宋" w:hAnsi="仿宋" w:eastAsia="仿宋" w:cs="仿宋"/>
          <w:sz w:val="28"/>
          <w:szCs w:val="28"/>
        </w:rPr>
      </w:pPr>
      <w:r>
        <w:rPr>
          <w:rFonts w:hint="eastAsia" w:ascii="仿宋" w:hAnsi="仿宋" w:eastAsia="仿宋" w:cs="仿宋"/>
          <w:sz w:val="28"/>
          <w:szCs w:val="28"/>
        </w:rPr>
        <w:t>一、投标函格式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徐州鹏苏项目管理有限公司</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根据</w:t>
      </w:r>
      <w:r>
        <w:rPr>
          <w:rFonts w:hint="eastAsia" w:ascii="仿宋" w:hAnsi="仿宋" w:eastAsia="仿宋" w:cs="仿宋"/>
          <w:sz w:val="28"/>
          <w:szCs w:val="28"/>
          <w:u w:val="single"/>
        </w:rPr>
        <w:t xml:space="preserve">          </w:t>
      </w:r>
      <w:r>
        <w:rPr>
          <w:rFonts w:hint="eastAsia" w:ascii="仿宋" w:hAnsi="仿宋" w:eastAsia="仿宋" w:cs="仿宋"/>
          <w:sz w:val="28"/>
          <w:szCs w:val="28"/>
        </w:rPr>
        <w:t>项目[项目编号：</w:t>
      </w:r>
      <w:r>
        <w:rPr>
          <w:rFonts w:hint="eastAsia" w:ascii="仿宋" w:hAnsi="仿宋" w:eastAsia="仿宋" w:cs="仿宋"/>
          <w:sz w:val="28"/>
          <w:szCs w:val="28"/>
          <w:lang w:eastAsia="zh-CN"/>
        </w:rPr>
        <w:t>JSZC-320381-XZPS-G2025-0005</w:t>
      </w:r>
      <w:r>
        <w:rPr>
          <w:rFonts w:hint="eastAsia" w:ascii="仿宋" w:hAnsi="仿宋" w:eastAsia="仿宋" w:cs="仿宋"/>
          <w:sz w:val="28"/>
          <w:szCs w:val="28"/>
        </w:rPr>
        <w:t xml:space="preserve">]招标文件， </w:t>
      </w:r>
      <w:r>
        <w:rPr>
          <w:rFonts w:hint="eastAsia" w:ascii="仿宋" w:hAnsi="仿宋" w:eastAsia="仿宋" w:cs="仿宋"/>
          <w:sz w:val="28"/>
          <w:szCs w:val="28"/>
          <w:u w:val="single"/>
        </w:rPr>
        <w:t xml:space="preserve">         </w:t>
      </w:r>
      <w:r>
        <w:rPr>
          <w:rFonts w:hint="eastAsia" w:ascii="仿宋" w:hAnsi="仿宋" w:eastAsia="仿宋" w:cs="仿宋"/>
          <w:sz w:val="28"/>
          <w:szCs w:val="28"/>
        </w:rPr>
        <w:t>(姓名)代表我方</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（投标人的名称）全权处理本次投标的有关事宜。</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 xml:space="preserve">据此函，投标人承诺并同意如下： </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1.投标人唯一投标报价见《开标一览表》。</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2.投标人将按招标文件的规定履行合同责任和义务。</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3.投标人已详细审查全部招标文件，包括第[插入编号] [补遗书][如果有的话]。投标人完全理解并同意放弃对这方面有不明及误解的权力。</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4.投标有效期为开标之日后90天。</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5.投标人同意提供按照贵方可能要求的与其投标有关的一切数据或资料，完全理解贵方不一定接受最低价的投标或收到的任何投标。</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6.投标人同意在授予合同后，按照有关规定支付公证费(如有)。</w:t>
      </w:r>
    </w:p>
    <w:p>
      <w:pPr>
        <w:pStyle w:val="43"/>
        <w:pageBreakBefore w:val="0"/>
        <w:wordWrap/>
        <w:topLinePunct w:val="0"/>
        <w:autoSpaceDE/>
        <w:autoSpaceDN/>
        <w:bidi w:val="0"/>
        <w:adjustRightInd/>
        <w:snapToGrid/>
        <w:spacing w:line="440" w:lineRule="exact"/>
        <w:ind w:right="29" w:firstLine="600"/>
        <w:textAlignment w:val="auto"/>
        <w:rPr>
          <w:rFonts w:ascii="仿宋" w:hAnsi="仿宋" w:eastAsia="仿宋" w:cs="仿宋"/>
          <w:sz w:val="28"/>
          <w:szCs w:val="28"/>
        </w:rPr>
      </w:pPr>
      <w:r>
        <w:rPr>
          <w:rFonts w:hint="eastAsia" w:ascii="仿宋" w:hAnsi="仿宋" w:eastAsia="仿宋" w:cs="仿宋"/>
          <w:sz w:val="28"/>
          <w:szCs w:val="28"/>
        </w:rPr>
        <w:t>7.徐州鹏苏项目管理有限公司有权将我单位本项目的《开标一览表》和《分项价格表》予以公示，公示的方式由徐州鹏苏项目管理有限公司确定。</w:t>
      </w:r>
    </w:p>
    <w:p>
      <w:pPr>
        <w:pStyle w:val="43"/>
        <w:pageBreakBefore w:val="0"/>
        <w:wordWrap/>
        <w:topLinePunct w:val="0"/>
        <w:autoSpaceDE/>
        <w:autoSpaceDN/>
        <w:bidi w:val="0"/>
        <w:adjustRightInd/>
        <w:snapToGrid/>
        <w:spacing w:line="440" w:lineRule="exact"/>
        <w:ind w:right="29" w:firstLine="600"/>
        <w:textAlignment w:val="auto"/>
        <w:rPr>
          <w:rFonts w:ascii="仿宋" w:hAnsi="仿宋" w:eastAsia="仿宋" w:cs="仿宋"/>
          <w:sz w:val="28"/>
          <w:szCs w:val="28"/>
        </w:rPr>
      </w:pPr>
      <w:r>
        <w:rPr>
          <w:rFonts w:hint="eastAsia" w:ascii="仿宋" w:hAnsi="仿宋" w:eastAsia="仿宋" w:cs="仿宋"/>
          <w:sz w:val="28"/>
          <w:szCs w:val="28"/>
        </w:rPr>
        <w:t>8.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9.与本投标有关的一切正式往来信函请寄：</w:t>
      </w:r>
    </w:p>
    <w:p>
      <w:pPr>
        <w:pStyle w:val="43"/>
        <w:pageBreakBefore w:val="0"/>
        <w:wordWrap/>
        <w:topLinePunct w:val="0"/>
        <w:autoSpaceDE/>
        <w:autoSpaceDN/>
        <w:bidi w:val="0"/>
        <w:adjustRightInd/>
        <w:snapToGrid/>
        <w:spacing w:line="440" w:lineRule="exact"/>
        <w:ind w:firstLine="1200"/>
        <w:textAlignment w:val="auto"/>
        <w:rPr>
          <w:rFonts w:ascii="仿宋" w:hAnsi="仿宋" w:eastAsia="仿宋" w:cs="仿宋"/>
          <w:sz w:val="28"/>
          <w:szCs w:val="28"/>
        </w:rPr>
      </w:pPr>
      <w:r>
        <w:rPr>
          <w:rFonts w:hint="eastAsia" w:ascii="仿宋" w:hAnsi="仿宋" w:eastAsia="仿宋" w:cs="仿宋"/>
          <w:sz w:val="28"/>
          <w:szCs w:val="28"/>
        </w:rPr>
        <w:t xml:space="preserve">地址： </w:t>
      </w:r>
    </w:p>
    <w:p>
      <w:pPr>
        <w:pStyle w:val="43"/>
        <w:pageBreakBefore w:val="0"/>
        <w:wordWrap/>
        <w:topLinePunct w:val="0"/>
        <w:autoSpaceDE/>
        <w:autoSpaceDN/>
        <w:bidi w:val="0"/>
        <w:adjustRightInd/>
        <w:snapToGrid/>
        <w:spacing w:line="440" w:lineRule="exact"/>
        <w:ind w:firstLine="1200"/>
        <w:textAlignment w:val="auto"/>
        <w:rPr>
          <w:rFonts w:ascii="仿宋" w:hAnsi="仿宋" w:eastAsia="仿宋" w:cs="仿宋"/>
          <w:sz w:val="28"/>
          <w:szCs w:val="28"/>
        </w:rPr>
      </w:pPr>
      <w:r>
        <w:rPr>
          <w:rFonts w:hint="eastAsia" w:ascii="仿宋" w:hAnsi="仿宋" w:eastAsia="仿宋" w:cs="仿宋"/>
          <w:sz w:val="28"/>
          <w:szCs w:val="28"/>
        </w:rPr>
        <w:t xml:space="preserve">电话： </w:t>
      </w:r>
    </w:p>
    <w:p>
      <w:pPr>
        <w:pStyle w:val="43"/>
        <w:pageBreakBefore w:val="0"/>
        <w:wordWrap/>
        <w:topLinePunct w:val="0"/>
        <w:autoSpaceDE/>
        <w:autoSpaceDN/>
        <w:bidi w:val="0"/>
        <w:adjustRightInd/>
        <w:snapToGrid/>
        <w:spacing w:line="440" w:lineRule="exact"/>
        <w:ind w:firstLine="1200"/>
        <w:textAlignment w:val="auto"/>
        <w:rPr>
          <w:rFonts w:ascii="仿宋" w:hAnsi="仿宋" w:eastAsia="仿宋" w:cs="仿宋"/>
          <w:sz w:val="28"/>
          <w:szCs w:val="28"/>
        </w:rPr>
      </w:pPr>
      <w:r>
        <w:rPr>
          <w:rFonts w:hint="eastAsia" w:ascii="仿宋" w:hAnsi="仿宋" w:eastAsia="仿宋" w:cs="仿宋"/>
          <w:sz w:val="28"/>
          <w:szCs w:val="28"/>
        </w:rPr>
        <w:t xml:space="preserve">传真： </w:t>
      </w:r>
    </w:p>
    <w:p>
      <w:pPr>
        <w:pStyle w:val="43"/>
        <w:pageBreakBefore w:val="0"/>
        <w:wordWrap/>
        <w:topLinePunct w:val="0"/>
        <w:autoSpaceDE/>
        <w:autoSpaceDN/>
        <w:bidi w:val="0"/>
        <w:adjustRightInd/>
        <w:snapToGrid/>
        <w:spacing w:line="440" w:lineRule="exact"/>
        <w:ind w:firstLine="27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2700"/>
        <w:textAlignment w:val="auto"/>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（电子签章）</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 xml:space="preserve">              </w:t>
      </w:r>
    </w:p>
    <w:p>
      <w:pPr>
        <w:pStyle w:val="43"/>
        <w:pageBreakBefore w:val="0"/>
        <w:wordWrap/>
        <w:topLinePunct w:val="0"/>
        <w:autoSpaceDE/>
        <w:autoSpaceDN/>
        <w:bidi w:val="0"/>
        <w:adjustRightInd/>
        <w:snapToGrid/>
        <w:spacing w:line="440" w:lineRule="exact"/>
        <w:ind w:firstLine="4500"/>
        <w:textAlignment w:val="auto"/>
        <w:rPr>
          <w:rFonts w:ascii="仿宋" w:hAnsi="仿宋" w:eastAsia="仿宋" w:cs="仿宋"/>
          <w:sz w:val="28"/>
          <w:szCs w:val="28"/>
        </w:rPr>
      </w:pPr>
      <w:r>
        <w:rPr>
          <w:rFonts w:hint="eastAsia" w:ascii="仿宋" w:hAnsi="仿宋" w:eastAsia="仿宋" w:cs="仿宋"/>
          <w:sz w:val="28"/>
          <w:szCs w:val="28"/>
        </w:rPr>
        <w:t>日期：   年  月  日</w:t>
      </w:r>
    </w:p>
    <w:p>
      <w:pPr>
        <w:rPr>
          <w:rFonts w:hint="eastAsia" w:ascii="仿宋" w:hAnsi="仿宋" w:eastAsia="仿宋" w:cs="仿宋"/>
          <w:sz w:val="28"/>
          <w:szCs w:val="28"/>
        </w:rPr>
      </w:pPr>
      <w:r>
        <w:rPr>
          <w:rFonts w:hint="eastAsia" w:ascii="仿宋" w:hAnsi="仿宋" w:eastAsia="仿宋" w:cs="仿宋"/>
          <w:sz w:val="28"/>
          <w:szCs w:val="28"/>
        </w:rPr>
        <w:br w:type="page"/>
      </w:r>
    </w:p>
    <w:p>
      <w:pPr>
        <w:pStyle w:val="43"/>
        <w:pageBreakBefore w:val="0"/>
        <w:wordWrap/>
        <w:topLinePunct w:val="0"/>
        <w:autoSpaceDE/>
        <w:autoSpaceDN/>
        <w:bidi w:val="0"/>
        <w:adjustRightInd/>
        <w:snapToGrid/>
        <w:spacing w:line="440" w:lineRule="exact"/>
        <w:ind w:firstLine="640"/>
        <w:textAlignment w:val="auto"/>
        <w:rPr>
          <w:rFonts w:ascii="仿宋" w:hAnsi="仿宋" w:eastAsia="仿宋" w:cs="仿宋"/>
          <w:sz w:val="28"/>
          <w:szCs w:val="28"/>
        </w:rPr>
      </w:pPr>
      <w:r>
        <w:rPr>
          <w:rFonts w:hint="eastAsia" w:ascii="仿宋" w:hAnsi="仿宋" w:eastAsia="仿宋" w:cs="仿宋"/>
          <w:sz w:val="28"/>
          <w:szCs w:val="28"/>
        </w:rPr>
        <w:t>二、开标一览表格式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u w:val="single"/>
        </w:rPr>
      </w:pPr>
      <w:r>
        <w:rPr>
          <w:rFonts w:hint="eastAsia" w:ascii="仿宋" w:hAnsi="仿宋" w:eastAsia="仿宋" w:cs="仿宋"/>
          <w:sz w:val="28"/>
          <w:szCs w:val="28"/>
        </w:rPr>
        <w:t xml:space="preserve">项目名称：新沂市城市“绿岛”项目环卫特种作业车辆采购项目 </w:t>
      </w:r>
    </w:p>
    <w:p>
      <w:pPr>
        <w:pStyle w:val="43"/>
        <w:pageBreakBefore w:val="0"/>
        <w:wordWrap/>
        <w:topLinePunct w:val="0"/>
        <w:autoSpaceDE/>
        <w:autoSpaceDN/>
        <w:bidi w:val="0"/>
        <w:adjustRightInd/>
        <w:snapToGrid/>
        <w:spacing w:line="440" w:lineRule="exact"/>
        <w:ind w:firstLine="560"/>
        <w:textAlignment w:val="auto"/>
        <w:rPr>
          <w:rFonts w:hint="eastAsia" w:ascii="仿宋" w:hAnsi="仿宋" w:eastAsia="仿宋" w:cs="仿宋"/>
          <w:sz w:val="28"/>
          <w:szCs w:val="28"/>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JSZC-320381-XZPS-G2025-0005</w:t>
      </w:r>
    </w:p>
    <w:p>
      <w:pPr>
        <w:pStyle w:val="43"/>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货币单位：人民币元</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详见苏采云系统中的格式。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38"/>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3150"/>
        <w:textAlignment w:val="auto"/>
        <w:rPr>
          <w:rFonts w:ascii="仿宋" w:hAnsi="仿宋" w:eastAsia="仿宋" w:cs="仿宋"/>
          <w:color w:val="000000"/>
          <w:sz w:val="30"/>
          <w:szCs w:val="30"/>
        </w:rPr>
      </w:pPr>
      <w:r>
        <w:rPr>
          <w:rFonts w:hint="eastAsia" w:ascii="仿宋" w:hAnsi="仿宋" w:eastAsia="仿宋" w:cs="仿宋"/>
          <w:color w:val="000000"/>
          <w:sz w:val="30"/>
          <w:szCs w:val="30"/>
        </w:rPr>
        <w:t>投标人：</w:t>
      </w:r>
      <w:r>
        <w:rPr>
          <w:rFonts w:hint="eastAsia" w:ascii="仿宋" w:hAnsi="仿宋" w:eastAsia="仿宋" w:cs="仿宋"/>
          <w:color w:val="000000"/>
          <w:sz w:val="30"/>
          <w:szCs w:val="30"/>
          <w:u w:val="single"/>
        </w:rPr>
        <w:t xml:space="preserve">           </w:t>
      </w:r>
      <w:r>
        <w:rPr>
          <w:rFonts w:hint="eastAsia" w:ascii="仿宋" w:hAnsi="仿宋" w:eastAsia="仿宋" w:cs="仿宋"/>
          <w:color w:val="000000"/>
          <w:sz w:val="30"/>
          <w:szCs w:val="30"/>
        </w:rPr>
        <w:t>（电子签章）</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color w:val="000000"/>
          <w:sz w:val="30"/>
          <w:szCs w:val="30"/>
        </w:rPr>
      </w:pPr>
      <w:r>
        <w:rPr>
          <w:rFonts w:hint="eastAsia" w:ascii="仿宋" w:hAnsi="仿宋" w:eastAsia="仿宋" w:cs="仿宋"/>
          <w:color w:val="000000"/>
          <w:sz w:val="30"/>
          <w:szCs w:val="30"/>
        </w:rPr>
        <w:t xml:space="preserve">                   </w:t>
      </w:r>
    </w:p>
    <w:p>
      <w:pPr>
        <w:pStyle w:val="43"/>
        <w:pageBreakBefore w:val="0"/>
        <w:wordWrap/>
        <w:topLinePunct w:val="0"/>
        <w:autoSpaceDE/>
        <w:autoSpaceDN/>
        <w:bidi w:val="0"/>
        <w:adjustRightInd/>
        <w:snapToGrid/>
        <w:spacing w:line="440" w:lineRule="exact"/>
        <w:ind w:firstLine="4950"/>
        <w:textAlignment w:val="auto"/>
        <w:rPr>
          <w:rFonts w:ascii="仿宋" w:hAnsi="仿宋" w:eastAsia="仿宋" w:cs="仿宋"/>
          <w:color w:val="000000"/>
          <w:sz w:val="30"/>
          <w:szCs w:val="30"/>
        </w:rPr>
      </w:pPr>
      <w:r>
        <w:rPr>
          <w:rFonts w:hint="eastAsia" w:ascii="仿宋" w:hAnsi="仿宋" w:eastAsia="仿宋" w:cs="仿宋"/>
          <w:color w:val="000000"/>
          <w:sz w:val="30"/>
          <w:szCs w:val="30"/>
        </w:rPr>
        <w:t>日期：   年  月  日</w:t>
      </w:r>
    </w:p>
    <w:p>
      <w:pPr>
        <w:pStyle w:val="42"/>
        <w:pageBreakBefore w:val="0"/>
        <w:wordWrap/>
        <w:topLinePunct w:val="0"/>
        <w:autoSpaceDE/>
        <w:autoSpaceDN/>
        <w:bidi w:val="0"/>
        <w:adjustRightInd/>
        <w:snapToGrid/>
        <w:spacing w:line="440" w:lineRule="exact"/>
        <w:textAlignment w:val="auto"/>
        <w:rPr>
          <w:rFonts w:ascii="仿宋" w:hAnsi="仿宋" w:eastAsia="仿宋" w:cs="仿宋"/>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38"/>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2"/>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38"/>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2"/>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38"/>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2"/>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三、分项价格表格式</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 xml:space="preserve">项目名称：新沂市城市“绿岛”项目环卫特种作业车辆采购项目  </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JSZC-320381-XZPS-G2025-0005</w:t>
      </w:r>
      <w:r>
        <w:rPr>
          <w:rFonts w:hint="eastAsia" w:ascii="仿宋" w:hAnsi="仿宋" w:eastAsia="仿宋" w:cs="仿宋"/>
          <w:sz w:val="28"/>
          <w:szCs w:val="28"/>
        </w:rPr>
        <w:t xml:space="preserve">   </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货币单位：人民币元</w:t>
      </w:r>
    </w:p>
    <w:tbl>
      <w:tblPr>
        <w:tblStyle w:val="34"/>
        <w:tblW w:w="10000" w:type="dxa"/>
        <w:jc w:val="center"/>
        <w:tblInd w:w="-299" w:type="dxa"/>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630"/>
        <w:gridCol w:w="1468"/>
        <w:gridCol w:w="1440"/>
        <w:gridCol w:w="2540"/>
        <w:gridCol w:w="898"/>
        <w:gridCol w:w="671"/>
        <w:gridCol w:w="952"/>
        <w:gridCol w:w="1401"/>
      </w:tblGrid>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736" w:hRule="atLeast"/>
          <w:jc w:val="center"/>
        </w:trPr>
        <w:tc>
          <w:tcPr>
            <w:tcW w:w="630" w:type="dxa"/>
            <w:shd w:val="clear" w:color="auto" w:fill="C0C0C0"/>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序号</w:t>
            </w:r>
          </w:p>
        </w:tc>
        <w:tc>
          <w:tcPr>
            <w:tcW w:w="1468" w:type="dxa"/>
            <w:shd w:val="clear" w:color="auto" w:fill="C0C0C0"/>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名称</w:t>
            </w:r>
          </w:p>
        </w:tc>
        <w:tc>
          <w:tcPr>
            <w:tcW w:w="1440" w:type="dxa"/>
            <w:shd w:val="clear" w:color="auto" w:fill="C0C0C0"/>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品牌、规格、型号</w:t>
            </w:r>
          </w:p>
        </w:tc>
        <w:tc>
          <w:tcPr>
            <w:tcW w:w="2540" w:type="dxa"/>
            <w:shd w:val="clear" w:color="auto" w:fill="C0C0C0"/>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产品制造企业名称（全称）</w:t>
            </w:r>
          </w:p>
        </w:tc>
        <w:tc>
          <w:tcPr>
            <w:tcW w:w="898" w:type="dxa"/>
            <w:shd w:val="clear" w:color="auto" w:fill="C0C0C0"/>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单位</w:t>
            </w:r>
          </w:p>
        </w:tc>
        <w:tc>
          <w:tcPr>
            <w:tcW w:w="671" w:type="dxa"/>
            <w:shd w:val="clear" w:color="auto" w:fill="C0C0C0"/>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数量</w:t>
            </w:r>
          </w:p>
        </w:tc>
        <w:tc>
          <w:tcPr>
            <w:tcW w:w="952" w:type="dxa"/>
            <w:shd w:val="clear" w:color="auto" w:fill="C0C0C0"/>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单价</w:t>
            </w:r>
          </w:p>
        </w:tc>
        <w:tc>
          <w:tcPr>
            <w:tcW w:w="1401" w:type="dxa"/>
            <w:shd w:val="clear" w:color="auto" w:fill="C0C0C0"/>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总价</w:t>
            </w: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726" w:hRule="atLeast"/>
          <w:jc w:val="center"/>
        </w:trPr>
        <w:tc>
          <w:tcPr>
            <w:tcW w:w="630" w:type="dxa"/>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1468" w:type="dxa"/>
            <w:tcMar>
              <w:top w:w="15" w:type="dxa"/>
              <w:left w:w="15" w:type="dxa"/>
              <w:bottom w:w="0" w:type="dxa"/>
              <w:right w:w="15" w:type="dxa"/>
            </w:tcMar>
            <w:vAlign w:val="center"/>
          </w:tcPr>
          <w:p>
            <w:pPr>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40" w:type="dxa"/>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2540" w:type="dxa"/>
            <w:tcMar>
              <w:top w:w="15" w:type="dxa"/>
              <w:left w:w="15" w:type="dxa"/>
              <w:bottom w:w="0" w:type="dxa"/>
              <w:right w:w="15" w:type="dxa"/>
            </w:tcMa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898" w:type="dxa"/>
            <w:tcMar>
              <w:top w:w="15" w:type="dxa"/>
              <w:left w:w="15" w:type="dxa"/>
              <w:bottom w:w="0" w:type="dxa"/>
              <w:right w:w="15" w:type="dxa"/>
            </w:tcMa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671" w:type="dxa"/>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952" w:type="dxa"/>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1401" w:type="dxa"/>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780" w:hRule="atLeast"/>
          <w:jc w:val="center"/>
        </w:trPr>
        <w:tc>
          <w:tcPr>
            <w:tcW w:w="630" w:type="dxa"/>
            <w:tcMar>
              <w:top w:w="15" w:type="dxa"/>
              <w:left w:w="15" w:type="dxa"/>
              <w:bottom w:w="0" w:type="dxa"/>
              <w:right w:w="15" w:type="dxa"/>
            </w:tcMar>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1468" w:type="dxa"/>
            <w:tcMar>
              <w:top w:w="15" w:type="dxa"/>
              <w:left w:w="15" w:type="dxa"/>
              <w:bottom w:w="0" w:type="dxa"/>
              <w:right w:w="15" w:type="dxa"/>
            </w:tcMar>
            <w:vAlign w:val="center"/>
          </w:tcPr>
          <w:p>
            <w:pPr>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40" w:type="dxa"/>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2540" w:type="dxa"/>
            <w:tcMar>
              <w:top w:w="15" w:type="dxa"/>
              <w:left w:w="15" w:type="dxa"/>
              <w:bottom w:w="0" w:type="dxa"/>
              <w:right w:w="15" w:type="dxa"/>
            </w:tcMa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898" w:type="dxa"/>
            <w:tcMar>
              <w:top w:w="15" w:type="dxa"/>
              <w:left w:w="15" w:type="dxa"/>
              <w:bottom w:w="0" w:type="dxa"/>
              <w:right w:w="15" w:type="dxa"/>
            </w:tcMa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671" w:type="dxa"/>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952" w:type="dxa"/>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c>
          <w:tcPr>
            <w:tcW w:w="1401" w:type="dxa"/>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r>
      <w:tr>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Ex>
        <w:trPr>
          <w:trHeight w:val="736" w:hRule="atLeast"/>
          <w:jc w:val="center"/>
        </w:trPr>
        <w:tc>
          <w:tcPr>
            <w:tcW w:w="6078" w:type="dxa"/>
            <w:gridSpan w:val="4"/>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总价合计（即《开标一览表》中的“总价”）</w:t>
            </w:r>
          </w:p>
        </w:tc>
        <w:tc>
          <w:tcPr>
            <w:tcW w:w="3922" w:type="dxa"/>
            <w:gridSpan w:val="4"/>
            <w:tcMar>
              <w:top w:w="15" w:type="dxa"/>
              <w:left w:w="15" w:type="dxa"/>
              <w:bottom w:w="0" w:type="dxa"/>
              <w:right w:w="15" w:type="dxa"/>
            </w:tcMar>
            <w:vAlign w:val="bottom"/>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tc>
      </w:tr>
    </w:tbl>
    <w:p>
      <w:pPr>
        <w:pStyle w:val="43"/>
        <w:pageBreakBefore w:val="0"/>
        <w:wordWrap/>
        <w:topLinePunct w:val="0"/>
        <w:autoSpaceDE/>
        <w:autoSpaceDN/>
        <w:bidi w:val="0"/>
        <w:adjustRightInd/>
        <w:snapToGrid/>
        <w:spacing w:line="440" w:lineRule="exact"/>
        <w:ind w:firstLine="364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364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3640"/>
        <w:textAlignment w:val="auto"/>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（电子签章）</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 xml:space="preserve">                </w:t>
      </w:r>
    </w:p>
    <w:p>
      <w:pPr>
        <w:pStyle w:val="43"/>
        <w:pageBreakBefore w:val="0"/>
        <w:wordWrap/>
        <w:topLinePunct w:val="0"/>
        <w:autoSpaceDE/>
        <w:autoSpaceDN/>
        <w:bidi w:val="0"/>
        <w:adjustRightInd/>
        <w:snapToGrid/>
        <w:spacing w:line="440" w:lineRule="exact"/>
        <w:ind w:firstLine="3900"/>
        <w:textAlignment w:val="auto"/>
        <w:rPr>
          <w:rFonts w:ascii="仿宋" w:hAnsi="仿宋" w:eastAsia="仿宋" w:cs="仿宋"/>
          <w:sz w:val="28"/>
          <w:szCs w:val="28"/>
        </w:rPr>
      </w:pPr>
      <w:r>
        <w:rPr>
          <w:rFonts w:hint="eastAsia" w:ascii="仿宋" w:hAnsi="仿宋" w:eastAsia="仿宋" w:cs="仿宋"/>
          <w:sz w:val="28"/>
          <w:szCs w:val="28"/>
        </w:rPr>
        <w:t>日期：   年  月  日</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112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jc w:val="center"/>
        <w:textAlignment w:val="auto"/>
        <w:rPr>
          <w:rFonts w:ascii="仿宋" w:hAnsi="仿宋" w:eastAsia="仿宋" w:cs="仿宋"/>
          <w:sz w:val="28"/>
          <w:szCs w:val="28"/>
        </w:rPr>
      </w:pPr>
      <w:r>
        <w:rPr>
          <w:rFonts w:hint="eastAsia" w:ascii="仿宋" w:hAnsi="仿宋" w:eastAsia="仿宋" w:cs="仿宋"/>
          <w:sz w:val="28"/>
          <w:szCs w:val="28"/>
        </w:rPr>
        <w:t>徐州鹏苏项目管理有限公司有权将以上内容进行公示。</w:t>
      </w:r>
    </w:p>
    <w:p>
      <w:pPr>
        <w:pStyle w:val="43"/>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br w:type="page" w:clear="all"/>
      </w:r>
      <w:r>
        <w:rPr>
          <w:rFonts w:hint="eastAsia" w:ascii="仿宋" w:hAnsi="仿宋" w:eastAsia="仿宋" w:cs="仿宋"/>
          <w:b/>
          <w:bCs/>
          <w:sz w:val="28"/>
          <w:szCs w:val="28"/>
        </w:rPr>
        <w:t>四、偏离表格式</w:t>
      </w:r>
    </w:p>
    <w:p>
      <w:pPr>
        <w:pStyle w:val="43"/>
        <w:pageBreakBefore w:val="0"/>
        <w:wordWrap/>
        <w:topLinePunct w:val="0"/>
        <w:autoSpaceDE/>
        <w:autoSpaceDN/>
        <w:bidi w:val="0"/>
        <w:adjustRightInd/>
        <w:snapToGrid/>
        <w:spacing w:line="440" w:lineRule="exact"/>
        <w:textAlignment w:val="auto"/>
      </w:pPr>
      <w:r>
        <w:rPr>
          <w:rFonts w:hint="eastAsia" w:ascii="仿宋" w:hAnsi="仿宋" w:eastAsia="仿宋" w:cs="仿宋"/>
          <w:sz w:val="28"/>
          <w:szCs w:val="28"/>
        </w:rPr>
        <w:t>项目名称：新沂市城市“绿岛”项目环卫特种作业车辆采购项目</w:t>
      </w:r>
    </w:p>
    <w:p>
      <w:pPr>
        <w:pStyle w:val="43"/>
        <w:pageBreakBefore w:val="0"/>
        <w:wordWrap/>
        <w:topLinePunct w:val="0"/>
        <w:autoSpaceDE/>
        <w:autoSpaceDN/>
        <w:bidi w:val="0"/>
        <w:adjustRightInd/>
        <w:snapToGrid/>
        <w:spacing w:line="440" w:lineRule="exac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rPr>
        <w:t>项目编号：</w:t>
      </w:r>
      <w:r>
        <w:rPr>
          <w:rFonts w:hint="eastAsia" w:ascii="仿宋" w:hAnsi="仿宋" w:eastAsia="仿宋" w:cs="仿宋"/>
          <w:sz w:val="28"/>
          <w:szCs w:val="28"/>
          <w:lang w:eastAsia="zh-CN"/>
        </w:rPr>
        <w:t>JSZC-320381-XZPS-G2025-0005</w:t>
      </w:r>
    </w:p>
    <w:tbl>
      <w:tblPr>
        <w:tblStyle w:val="34"/>
        <w:tblW w:w="900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04"/>
        <w:gridCol w:w="1476"/>
        <w:gridCol w:w="1620"/>
        <w:gridCol w:w="126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20" w:type="dxa"/>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caps/>
                <w:sz w:val="28"/>
                <w:szCs w:val="28"/>
              </w:rPr>
            </w:pPr>
            <w:r>
              <w:rPr>
                <w:rFonts w:hint="eastAsia" w:ascii="仿宋" w:hAnsi="仿宋" w:eastAsia="仿宋" w:cs="仿宋"/>
                <w:caps/>
                <w:sz w:val="28"/>
                <w:szCs w:val="28"/>
              </w:rPr>
              <w:t>序号</w:t>
            </w:r>
          </w:p>
        </w:tc>
        <w:tc>
          <w:tcPr>
            <w:tcW w:w="1404" w:type="dxa"/>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caps/>
                <w:sz w:val="28"/>
                <w:szCs w:val="28"/>
              </w:rPr>
            </w:pPr>
            <w:r>
              <w:rPr>
                <w:rFonts w:hint="eastAsia" w:ascii="仿宋" w:hAnsi="仿宋" w:eastAsia="仿宋" w:cs="仿宋"/>
                <w:caps/>
                <w:sz w:val="28"/>
                <w:szCs w:val="28"/>
              </w:rPr>
              <w:t>偏离内容</w:t>
            </w:r>
          </w:p>
        </w:tc>
        <w:tc>
          <w:tcPr>
            <w:tcW w:w="1476" w:type="dxa"/>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caps/>
                <w:sz w:val="28"/>
                <w:szCs w:val="28"/>
              </w:rPr>
            </w:pPr>
            <w:r>
              <w:rPr>
                <w:rFonts w:hint="eastAsia" w:ascii="仿宋" w:hAnsi="仿宋" w:eastAsia="仿宋" w:cs="仿宋"/>
                <w:sz w:val="28"/>
                <w:szCs w:val="28"/>
              </w:rPr>
              <w:t>招标文件的要求</w:t>
            </w:r>
          </w:p>
        </w:tc>
        <w:tc>
          <w:tcPr>
            <w:tcW w:w="1620" w:type="dxa"/>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caps/>
                <w:sz w:val="28"/>
                <w:szCs w:val="28"/>
              </w:rPr>
            </w:pPr>
            <w:r>
              <w:rPr>
                <w:rFonts w:hint="eastAsia" w:ascii="仿宋" w:hAnsi="仿宋" w:eastAsia="仿宋" w:cs="仿宋"/>
                <w:sz w:val="28"/>
                <w:szCs w:val="28"/>
              </w:rPr>
              <w:t>投标文件中的内容</w:t>
            </w:r>
          </w:p>
        </w:tc>
        <w:tc>
          <w:tcPr>
            <w:tcW w:w="1260" w:type="dxa"/>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caps/>
                <w:sz w:val="28"/>
                <w:szCs w:val="28"/>
              </w:rPr>
            </w:pPr>
            <w:r>
              <w:rPr>
                <w:rFonts w:hint="eastAsia" w:ascii="仿宋" w:hAnsi="仿宋" w:eastAsia="仿宋" w:cs="仿宋"/>
                <w:caps/>
                <w:sz w:val="28"/>
                <w:szCs w:val="28"/>
              </w:rPr>
              <w:t>（正/负/无）偏离</w:t>
            </w:r>
          </w:p>
        </w:tc>
        <w:tc>
          <w:tcPr>
            <w:tcW w:w="2520" w:type="dxa"/>
            <w:vAlign w:val="center"/>
          </w:tcPr>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caps/>
                <w:sz w:val="28"/>
                <w:szCs w:val="28"/>
              </w:rPr>
            </w:pPr>
            <w:r>
              <w:rPr>
                <w:rFonts w:hint="eastAsia" w:ascii="仿宋" w:hAnsi="仿宋" w:eastAsia="仿宋" w:cs="仿宋"/>
                <w:caps/>
                <w:sz w:val="28"/>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04"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76"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6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26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25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04"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76"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6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26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25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04"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76"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6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26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25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04"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76"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6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26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25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04"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76"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6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26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25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04"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476"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6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126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c>
          <w:tcPr>
            <w:tcW w:w="2520" w:type="dxa"/>
          </w:tcPr>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tc>
      </w:tr>
    </w:tbl>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u w:val="single"/>
        </w:rPr>
      </w:pPr>
    </w:p>
    <w:p>
      <w:pPr>
        <w:pStyle w:val="43"/>
        <w:pageBreakBefore w:val="0"/>
        <w:wordWrap/>
        <w:topLinePunct w:val="0"/>
        <w:autoSpaceDE/>
        <w:autoSpaceDN/>
        <w:bidi w:val="0"/>
        <w:adjustRightInd/>
        <w:snapToGrid/>
        <w:spacing w:line="440" w:lineRule="exact"/>
        <w:ind w:firstLine="562"/>
        <w:textAlignment w:val="auto"/>
        <w:rPr>
          <w:rFonts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：投标人的投标文件中的内容与招标文件（含招标文件的澄清或者修改的内容）的要求不同时，逐条列在偏离表中，否则将认为投标人接受招标文件的要求。</w:t>
      </w:r>
    </w:p>
    <w:p>
      <w:pPr>
        <w:pStyle w:val="43"/>
        <w:pageBreakBefore w:val="0"/>
        <w:wordWrap/>
        <w:topLinePunct w:val="0"/>
        <w:autoSpaceDE/>
        <w:autoSpaceDN/>
        <w:bidi w:val="0"/>
        <w:adjustRightInd/>
        <w:snapToGrid/>
        <w:spacing w:line="440" w:lineRule="exact"/>
        <w:ind w:firstLine="2850"/>
        <w:textAlignment w:val="auto"/>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（电子签章）</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 xml:space="preserve">            </w:t>
      </w:r>
    </w:p>
    <w:p>
      <w:pPr>
        <w:pStyle w:val="43"/>
        <w:pageBreakBefore w:val="0"/>
        <w:wordWrap/>
        <w:topLinePunct w:val="0"/>
        <w:autoSpaceDE/>
        <w:autoSpaceDN/>
        <w:bidi w:val="0"/>
        <w:adjustRightInd/>
        <w:snapToGrid/>
        <w:spacing w:line="440" w:lineRule="exact"/>
        <w:ind w:firstLine="39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3900"/>
        <w:textAlignment w:val="auto"/>
        <w:rPr>
          <w:rFonts w:ascii="仿宋" w:hAnsi="仿宋" w:eastAsia="仿宋" w:cs="仿宋"/>
          <w:sz w:val="28"/>
          <w:szCs w:val="28"/>
        </w:rPr>
      </w:pPr>
      <w:r>
        <w:rPr>
          <w:rFonts w:hint="eastAsia" w:ascii="仿宋" w:hAnsi="仿宋" w:eastAsia="仿宋" w:cs="仿宋"/>
          <w:sz w:val="28"/>
          <w:szCs w:val="28"/>
        </w:rPr>
        <w:t>日期：   年  月  日</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Cs/>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bCs/>
          <w:sz w:val="28"/>
          <w:szCs w:val="28"/>
        </w:rPr>
      </w:pPr>
    </w:p>
    <w:p>
      <w:pPr>
        <w:pStyle w:val="43"/>
        <w:pageBreakBefore w:val="0"/>
        <w:wordWrap/>
        <w:topLinePunct w:val="0"/>
        <w:autoSpaceDE/>
        <w:autoSpaceDN/>
        <w:bidi w:val="0"/>
        <w:adjustRightInd/>
        <w:snapToGrid/>
        <w:spacing w:line="440" w:lineRule="exact"/>
        <w:ind w:firstLine="600"/>
        <w:jc w:val="center"/>
        <w:textAlignment w:val="auto"/>
        <w:rPr>
          <w:rFonts w:ascii="仿宋" w:hAnsi="仿宋" w:eastAsia="仿宋" w:cs="仿宋"/>
          <w:sz w:val="28"/>
          <w:szCs w:val="28"/>
        </w:rPr>
      </w:pPr>
      <w:r>
        <w:rPr>
          <w:rFonts w:hint="eastAsia" w:ascii="仿宋" w:hAnsi="仿宋" w:eastAsia="仿宋" w:cs="仿宋"/>
          <w:bCs/>
          <w:sz w:val="28"/>
          <w:szCs w:val="28"/>
        </w:rPr>
        <w:br w:type="page" w:clear="all"/>
      </w:r>
      <w:r>
        <w:rPr>
          <w:rFonts w:hint="eastAsia" w:ascii="仿宋" w:hAnsi="仿宋" w:eastAsia="仿宋" w:cs="仿宋"/>
          <w:bCs/>
          <w:sz w:val="28"/>
          <w:szCs w:val="28"/>
        </w:rPr>
        <w:t>五、法定代表人授权书格式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委托人：</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地  址：</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法定代表人（负责人）：               职务：</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统一社会信用代码：</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 xml:space="preserve">受托人：                   性别：男（女）  </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年龄：  岁                 民族：   族</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职务：</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身份证号：</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受托人联系电话：</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兹委托（      ）全权代表我企业（公司）参与（新沂市城市“绿岛”</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项目环卫特种作业车辆采购项目）项目（项目编号：</w:t>
      </w:r>
      <w:r>
        <w:rPr>
          <w:rFonts w:hint="eastAsia" w:ascii="仿宋" w:hAnsi="仿宋" w:eastAsia="仿宋" w:cs="仿宋"/>
          <w:sz w:val="28"/>
          <w:szCs w:val="28"/>
          <w:lang w:eastAsia="zh-CN"/>
        </w:rPr>
        <w:t>JSZC-320381-XZPS-G2025-0005</w:t>
      </w:r>
      <w:r>
        <w:rPr>
          <w:rFonts w:hint="eastAsia" w:ascii="仿宋" w:hAnsi="仿宋" w:eastAsia="仿宋" w:cs="仿宋"/>
          <w:sz w:val="28"/>
          <w:szCs w:val="28"/>
        </w:rPr>
        <w:t>）的招、投标活动及签订合同。（         ）以我企业（公司）名义所为的法律行为及签署的文件，我企业（公司）均予以认可。有关法律责任均由我企业（公司）承担。（         ）无转委托权。委托期限自   年  月  日起至  年  月    日止。</w:t>
      </w:r>
    </w:p>
    <w:p>
      <w:pPr>
        <w:pStyle w:val="43"/>
        <w:pageBreakBefore w:val="0"/>
        <w:wordWrap/>
        <w:topLinePunct w:val="0"/>
        <w:autoSpaceDE/>
        <w:autoSpaceDN/>
        <w:bidi w:val="0"/>
        <w:adjustRightInd/>
        <w:snapToGrid/>
        <w:spacing w:line="440" w:lineRule="exact"/>
        <w:ind w:firstLine="630"/>
        <w:textAlignment w:val="auto"/>
        <w:rPr>
          <w:rFonts w:ascii="仿宋" w:hAnsi="仿宋" w:eastAsia="仿宋" w:cs="仿宋"/>
          <w:sz w:val="28"/>
          <w:szCs w:val="28"/>
        </w:rPr>
      </w:pPr>
      <w:r>
        <w:rPr>
          <w:rFonts w:hint="eastAsia" w:ascii="仿宋" w:hAnsi="仿宋" w:eastAsia="仿宋" w:cs="仿宋"/>
          <w:sz w:val="28"/>
          <w:szCs w:val="28"/>
        </w:rPr>
        <w:t>特此授权委托。</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委托人（盖章）：               受托人（签字或盖章）：</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 xml:space="preserve">法定代表人（签字或盖章）： </w:t>
      </w:r>
    </w:p>
    <w:p>
      <w:pPr>
        <w:pStyle w:val="43"/>
        <w:pageBreakBefore w:val="0"/>
        <w:wordWrap/>
        <w:topLinePunct w:val="0"/>
        <w:autoSpaceDE/>
        <w:autoSpaceDN/>
        <w:bidi w:val="0"/>
        <w:adjustRightInd/>
        <w:snapToGrid/>
        <w:spacing w:line="440" w:lineRule="exact"/>
        <w:ind w:right="600" w:firstLine="6150"/>
        <w:textAlignment w:val="auto"/>
        <w:rPr>
          <w:rFonts w:ascii="仿宋" w:hAnsi="仿宋" w:eastAsia="仿宋" w:cs="仿宋"/>
          <w:sz w:val="28"/>
          <w:szCs w:val="28"/>
        </w:rPr>
      </w:pPr>
      <w:r>
        <w:rPr>
          <w:rFonts w:hint="eastAsia" w:ascii="仿宋" w:hAnsi="仿宋" w:eastAsia="仿宋" w:cs="仿宋"/>
          <w:sz w:val="28"/>
          <w:szCs w:val="28"/>
        </w:rPr>
        <w:t xml:space="preserve">年   月   日 </w:t>
      </w:r>
    </w:p>
    <w:p>
      <w:pPr>
        <w:pStyle w:val="43"/>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(受托人身份证扫描件附后)</w:t>
      </w:r>
    </w:p>
    <w:p>
      <w:pPr>
        <w:pStyle w:val="43"/>
        <w:pageBreakBefore w:val="0"/>
        <w:wordWrap/>
        <w:topLinePunct w:val="0"/>
        <w:autoSpaceDE/>
        <w:autoSpaceDN/>
        <w:bidi w:val="0"/>
        <w:adjustRightInd/>
        <w:snapToGrid/>
        <w:spacing w:line="440" w:lineRule="exact"/>
        <w:ind w:firstLine="4470"/>
        <w:textAlignment w:val="auto"/>
        <w:rPr>
          <w:rFonts w:ascii="仿宋" w:hAnsi="仿宋" w:eastAsia="仿宋" w:cs="仿宋"/>
          <w:sz w:val="28"/>
          <w:szCs w:val="28"/>
        </w:rPr>
      </w:pPr>
      <w:r>
        <w:rPr>
          <w:rFonts w:hint="eastAsia" w:ascii="仿宋" w:hAnsi="仿宋" w:eastAsia="仿宋" w:cs="仿宋"/>
          <w:sz w:val="28"/>
          <w:szCs w:val="28"/>
        </w:rPr>
        <w:t xml:space="preserve"> </w:t>
      </w:r>
    </w:p>
    <w:p>
      <w:pPr>
        <w:pStyle w:val="43"/>
        <w:pageBreakBefore w:val="0"/>
        <w:wordWrap/>
        <w:topLinePunct w:val="0"/>
        <w:autoSpaceDE/>
        <w:autoSpaceDN/>
        <w:bidi w:val="0"/>
        <w:adjustRightInd/>
        <w:snapToGrid/>
        <w:spacing w:line="440" w:lineRule="exact"/>
        <w:ind w:firstLine="447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447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447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br w:type="page" w:clear="all"/>
      </w:r>
    </w:p>
    <w:p>
      <w:pPr>
        <w:pStyle w:val="43"/>
        <w:pageBreakBefore w:val="0"/>
        <w:widowControl/>
        <w:wordWrap/>
        <w:topLinePunct w:val="0"/>
        <w:autoSpaceDE/>
        <w:autoSpaceDN/>
        <w:bidi w:val="0"/>
        <w:adjustRightInd/>
        <w:snapToGrid/>
        <w:spacing w:before="100" w:beforeAutospacing="1" w:after="100" w:afterAutospacing="1"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六、中小企业声明函格式</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u w:val="single"/>
        </w:rPr>
      </w:pPr>
      <w:r>
        <w:rPr>
          <w:rFonts w:hint="eastAsia" w:ascii="仿宋" w:hAnsi="仿宋" w:eastAsia="仿宋" w:cs="仿宋"/>
          <w:sz w:val="28"/>
          <w:szCs w:val="28"/>
        </w:rPr>
        <w:t>项目名称：</w:t>
      </w:r>
      <w:r>
        <w:rPr>
          <w:rFonts w:hint="eastAsia" w:ascii="仿宋" w:hAnsi="仿宋" w:eastAsia="仿宋" w:cs="仿宋"/>
          <w:sz w:val="28"/>
          <w:szCs w:val="28"/>
          <w:u w:val="single"/>
        </w:rPr>
        <w:t xml:space="preserve">                                </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pStyle w:val="43"/>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0"/>
        <w:textAlignment w:val="auto"/>
        <w:rPr>
          <w:rFonts w:ascii="仿宋" w:hAnsi="仿宋" w:eastAsia="仿宋" w:cs="仿宋"/>
          <w:sz w:val="28"/>
          <w:szCs w:val="28"/>
        </w:rPr>
      </w:pPr>
      <w:r>
        <w:rPr>
          <w:rFonts w:hint="eastAsia" w:ascii="仿宋" w:hAnsi="仿宋" w:eastAsia="仿宋" w:cs="仿宋"/>
          <w:sz w:val="28"/>
          <w:szCs w:val="28"/>
        </w:rPr>
        <w:t>本公司</w:t>
      </w:r>
      <w:r>
        <w:rPr>
          <w:rFonts w:hint="eastAsia" w:ascii="仿宋" w:hAnsi="仿宋" w:eastAsia="仿宋" w:cs="仿宋"/>
          <w:sz w:val="28"/>
          <w:szCs w:val="28"/>
          <w:u w:val="single"/>
        </w:rPr>
        <w:t xml:space="preserve">       </w:t>
      </w:r>
      <w:r>
        <w:rPr>
          <w:rFonts w:hint="eastAsia" w:ascii="仿宋" w:hAnsi="仿宋" w:eastAsia="仿宋" w:cs="仿宋"/>
          <w:sz w:val="28"/>
          <w:szCs w:val="28"/>
        </w:rPr>
        <w:t>郑重声明，根据《政府采购促进中小企业发展管理办法》（财库 (2020)46号）的规定，本公司参加（</w:t>
      </w:r>
      <w:r>
        <w:rPr>
          <w:rFonts w:hint="eastAsia" w:ascii="仿宋" w:hAnsi="仿宋" w:eastAsia="仿宋" w:cs="仿宋"/>
          <w:sz w:val="28"/>
          <w:szCs w:val="28"/>
          <w:u w:val="single"/>
        </w:rPr>
        <w:t>单位名称</w:t>
      </w:r>
      <w:r>
        <w:rPr>
          <w:rFonts w:hint="eastAsia" w:ascii="仿宋" w:hAnsi="仿宋" w:eastAsia="仿宋" w:cs="仿宋"/>
          <w:sz w:val="28"/>
          <w:szCs w:val="28"/>
        </w:rPr>
        <w:t>）的（</w:t>
      </w:r>
      <w:r>
        <w:rPr>
          <w:rFonts w:hint="eastAsia" w:ascii="仿宋" w:hAnsi="仿宋" w:eastAsia="仿宋" w:cs="仿宋"/>
          <w:sz w:val="28"/>
          <w:szCs w:val="28"/>
          <w:u w:val="single"/>
        </w:rPr>
        <w:t>项目名称</w:t>
      </w:r>
      <w:r>
        <w:rPr>
          <w:rFonts w:hint="eastAsia" w:ascii="仿宋" w:hAnsi="仿宋" w:eastAsia="仿宋" w:cs="仿宋"/>
          <w:sz w:val="28"/>
          <w:szCs w:val="28"/>
        </w:rPr>
        <w:t>）采购活动，提供的货物全部由符合政策要求的中小企业制造。相关企业的具体情况如下：</w:t>
      </w:r>
    </w:p>
    <w:p>
      <w:pPr>
        <w:pStyle w:val="38"/>
        <w:pageBreakBefore w:val="0"/>
        <w:numPr>
          <w:ilvl w:val="0"/>
          <w:numId w:val="5"/>
        </w:numPr>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（举高喷射消防车），属于（工业）行业；制造商为（</w:t>
      </w:r>
      <w:r>
        <w:rPr>
          <w:rFonts w:hint="eastAsia" w:ascii="仿宋" w:hAnsi="仿宋" w:eastAsia="仿宋" w:cs="仿宋"/>
          <w:sz w:val="28"/>
          <w:szCs w:val="28"/>
          <w:u w:val="single"/>
        </w:rPr>
        <w:t>企业名称</w:t>
      </w:r>
      <w:r>
        <w:rPr>
          <w:rFonts w:hint="eastAsia" w:ascii="仿宋" w:hAnsi="仿宋" w:eastAsia="仿宋" w:cs="仿宋"/>
          <w:sz w:val="28"/>
          <w:szCs w:val="28"/>
        </w:rPr>
        <w:t xml:space="preserve">），从业人员 </w:t>
      </w:r>
      <w:r>
        <w:rPr>
          <w:rFonts w:hint="eastAsia" w:ascii="仿宋" w:hAnsi="仿宋" w:eastAsia="仿宋" w:cs="仿宋"/>
          <w:sz w:val="28"/>
          <w:szCs w:val="28"/>
          <w:u w:val="single"/>
        </w:rPr>
        <w:t xml:space="preserve">      </w:t>
      </w:r>
      <w:r>
        <w:rPr>
          <w:rFonts w:hint="eastAsia" w:ascii="仿宋" w:hAnsi="仿宋" w:eastAsia="仿宋" w:cs="仿宋"/>
          <w:sz w:val="28"/>
          <w:szCs w:val="28"/>
        </w:rPr>
        <w:t>人， 营业收入为</w:t>
      </w:r>
      <w:r>
        <w:rPr>
          <w:rFonts w:hint="eastAsia" w:ascii="仿宋" w:hAnsi="仿宋" w:eastAsia="仿宋" w:cs="仿宋"/>
          <w:sz w:val="28"/>
          <w:szCs w:val="28"/>
          <w:u w:val="single"/>
        </w:rPr>
        <w:t xml:space="preserve">    </w:t>
      </w:r>
      <w:r>
        <w:rPr>
          <w:rFonts w:hint="eastAsia" w:ascii="仿宋" w:hAnsi="仿宋" w:eastAsia="仿宋" w:cs="仿宋"/>
          <w:sz w:val="28"/>
          <w:szCs w:val="28"/>
        </w:rPr>
        <w:t>万元，资产总额为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万元，属于（□中型企业、□小型企业、□微型企业，</w:t>
      </w:r>
      <w:r>
        <w:rPr>
          <w:rFonts w:hint="eastAsia" w:ascii="仿宋" w:hAnsi="仿宋" w:eastAsia="仿宋" w:cs="仿宋"/>
          <w:b/>
          <w:sz w:val="28"/>
          <w:szCs w:val="28"/>
        </w:rPr>
        <w:t>请勾选！</w:t>
      </w:r>
      <w:r>
        <w:rPr>
          <w:rFonts w:hint="eastAsia" w:ascii="仿宋" w:hAnsi="仿宋" w:eastAsia="仿宋" w:cs="仿宋"/>
          <w:sz w:val="28"/>
          <w:szCs w:val="28"/>
        </w:rPr>
        <w:t>)；</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以上企业，属于大企业的分支机构，不存在控股股东为大企业的情形，也不存在与大企业的负责人为同一人的情形。</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t>本企业对上述声明内容的真实性负责。如有虚假，将依法承担相应责任。</w:t>
      </w:r>
    </w:p>
    <w:p>
      <w:pPr>
        <w:pStyle w:val="218"/>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idowControl/>
        <w:wordWrap/>
        <w:topLinePunct w:val="0"/>
        <w:autoSpaceDE/>
        <w:autoSpaceDN/>
        <w:bidi w:val="0"/>
        <w:adjustRightInd/>
        <w:snapToGrid/>
        <w:spacing w:line="440" w:lineRule="exact"/>
        <w:ind w:firstLine="480"/>
        <w:jc w:val="center"/>
        <w:textAlignment w:val="auto"/>
        <w:rPr>
          <w:rFonts w:ascii="仿宋" w:hAnsi="仿宋" w:eastAsia="仿宋" w:cs="仿宋"/>
          <w:sz w:val="28"/>
          <w:szCs w:val="28"/>
        </w:rPr>
      </w:pPr>
      <w:r>
        <w:rPr>
          <w:rFonts w:hint="eastAsia" w:ascii="仿宋" w:hAnsi="仿宋" w:eastAsia="仿宋" w:cs="仿宋"/>
          <w:sz w:val="28"/>
          <w:szCs w:val="28"/>
        </w:rPr>
        <w:t xml:space="preserve"> 企业名称（供应商名称）（电子签章）： </w:t>
      </w:r>
    </w:p>
    <w:p>
      <w:pPr>
        <w:pStyle w:val="43"/>
        <w:pageBreakBefore w:val="0"/>
        <w:widowControl/>
        <w:wordWrap/>
        <w:topLinePunct w:val="0"/>
        <w:autoSpaceDE/>
        <w:autoSpaceDN/>
        <w:bidi w:val="0"/>
        <w:adjustRightInd/>
        <w:snapToGrid/>
        <w:spacing w:line="440" w:lineRule="exact"/>
        <w:ind w:right="480"/>
        <w:textAlignment w:val="auto"/>
        <w:rPr>
          <w:rFonts w:ascii="仿宋" w:hAnsi="仿宋" w:eastAsia="仿宋" w:cs="仿宋"/>
          <w:sz w:val="28"/>
          <w:szCs w:val="28"/>
        </w:rPr>
      </w:pPr>
      <w:r>
        <w:rPr>
          <w:rFonts w:hint="eastAsia" w:ascii="仿宋" w:hAnsi="仿宋" w:eastAsia="仿宋" w:cs="仿宋"/>
          <w:sz w:val="28"/>
          <w:szCs w:val="28"/>
        </w:rPr>
        <w:t xml:space="preserve">                               日  期：  年  月  日</w:t>
      </w:r>
    </w:p>
    <w:p>
      <w:pPr>
        <w:pStyle w:val="43"/>
        <w:pageBreakBefore w:val="0"/>
        <w:wordWrap/>
        <w:topLinePunct w:val="0"/>
        <w:autoSpaceDE/>
        <w:autoSpaceDN/>
        <w:bidi w:val="0"/>
        <w:adjustRightInd/>
        <w:snapToGrid/>
        <w:spacing w:line="440" w:lineRule="exact"/>
        <w:textAlignment w:val="auto"/>
        <w:rPr>
          <w:rFonts w:ascii="仿宋" w:hAnsi="仿宋" w:eastAsia="仿宋" w:cs="仿宋"/>
          <w:b/>
          <w:bCs/>
          <w:sz w:val="28"/>
          <w:szCs w:val="28"/>
        </w:rPr>
      </w:pPr>
      <w:r>
        <w:rPr>
          <w:rFonts w:hint="eastAsia" w:ascii="仿宋" w:hAnsi="仿宋" w:eastAsia="仿宋" w:cs="仿宋"/>
          <w:b/>
          <w:bCs/>
          <w:sz w:val="28"/>
          <w:szCs w:val="28"/>
        </w:rPr>
        <w:t>注：本项目采购的货物属于：工业。</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备注：</w:t>
      </w:r>
    </w:p>
    <w:p>
      <w:pPr>
        <w:pStyle w:val="43"/>
        <w:pageBreakBefore w:val="0"/>
        <w:wordWrap/>
        <w:topLinePunct w:val="0"/>
        <w:autoSpaceDE/>
        <w:autoSpaceDN/>
        <w:bidi w:val="0"/>
        <w:adjustRightInd/>
        <w:snapToGrid/>
        <w:spacing w:line="440" w:lineRule="exact"/>
        <w:ind w:firstLine="600"/>
        <w:jc w:val="left"/>
        <w:textAlignment w:val="auto"/>
        <w:rPr>
          <w:rFonts w:ascii="仿宋" w:hAnsi="仿宋" w:eastAsia="仿宋" w:cs="仿宋"/>
          <w:sz w:val="28"/>
          <w:szCs w:val="28"/>
        </w:rPr>
      </w:pPr>
      <w:r>
        <w:rPr>
          <w:rFonts w:hint="eastAsia" w:ascii="仿宋" w:hAnsi="仿宋" w:eastAsia="仿宋" w:cs="仿宋"/>
          <w:sz w:val="28"/>
          <w:szCs w:val="28"/>
        </w:rPr>
        <w:t>1、从业人员、营业收入、资产总额填报上一年度数据，无上一年度数据的新成立企业可不填报。</w:t>
      </w:r>
    </w:p>
    <w:p>
      <w:pPr>
        <w:pStyle w:val="42"/>
        <w:pageBreakBefore w:val="0"/>
        <w:wordWrap/>
        <w:topLinePunct w:val="0"/>
        <w:autoSpaceDE/>
        <w:autoSpaceDN/>
        <w:bidi w:val="0"/>
        <w:adjustRightInd/>
        <w:snapToGrid/>
        <w:spacing w:line="440" w:lineRule="exact"/>
        <w:ind w:left="0" w:firstLine="560"/>
        <w:textAlignment w:val="auto"/>
        <w:rPr>
          <w:rFonts w:ascii="仿宋" w:hAnsi="仿宋" w:eastAsia="仿宋" w:cs="仿宋"/>
          <w:sz w:val="28"/>
          <w:szCs w:val="28"/>
        </w:rPr>
      </w:pPr>
      <w:r>
        <w:rPr>
          <w:rFonts w:hint="eastAsia" w:ascii="仿宋" w:hAnsi="仿宋" w:eastAsia="仿宋" w:cs="仿宋"/>
          <w:sz w:val="28"/>
          <w:szCs w:val="28"/>
        </w:rPr>
        <w:t>2、《中小企业声明函》查询渠道微信搜索“中小企业规模类型自测小程序”。</w:t>
      </w:r>
    </w:p>
    <w:p>
      <w:pPr>
        <w:pStyle w:val="42"/>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38"/>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2"/>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
          <w:spacing w:val="6"/>
          <w:sz w:val="28"/>
          <w:szCs w:val="28"/>
        </w:rPr>
      </w:pPr>
      <w:r>
        <w:rPr>
          <w:rFonts w:hint="eastAsia" w:ascii="仿宋" w:hAnsi="仿宋" w:eastAsia="仿宋" w:cs="仿宋"/>
          <w:sz w:val="28"/>
          <w:szCs w:val="28"/>
        </w:rPr>
        <w:br w:type="page" w:clear="all"/>
      </w:r>
      <w:r>
        <w:rPr>
          <w:rFonts w:hint="eastAsia" w:ascii="仿宋" w:hAnsi="仿宋" w:eastAsia="仿宋" w:cs="仿宋"/>
          <w:sz w:val="28"/>
          <w:szCs w:val="28"/>
        </w:rPr>
        <w:t>七、残疾人福利性单位声明函格式</w:t>
      </w:r>
    </w:p>
    <w:p>
      <w:pPr>
        <w:pStyle w:val="43"/>
        <w:pageBreakBefore w:val="0"/>
        <w:wordWrap/>
        <w:topLinePunct w:val="0"/>
        <w:autoSpaceDE/>
        <w:autoSpaceDN/>
        <w:bidi w:val="0"/>
        <w:adjustRightInd/>
        <w:snapToGrid/>
        <w:spacing w:line="440" w:lineRule="exact"/>
        <w:ind w:firstLine="624"/>
        <w:textAlignment w:val="auto"/>
        <w:rPr>
          <w:rFonts w:ascii="仿宋" w:hAnsi="仿宋" w:eastAsia="仿宋" w:cs="仿宋"/>
          <w:spacing w:val="6"/>
          <w:sz w:val="28"/>
          <w:szCs w:val="28"/>
        </w:rPr>
      </w:pPr>
    </w:p>
    <w:p>
      <w:pPr>
        <w:pStyle w:val="43"/>
        <w:pageBreakBefore w:val="0"/>
        <w:wordWrap/>
        <w:topLinePunct w:val="0"/>
        <w:autoSpaceDE/>
        <w:autoSpaceDN/>
        <w:bidi w:val="0"/>
        <w:adjustRightInd/>
        <w:snapToGrid/>
        <w:spacing w:line="440" w:lineRule="exact"/>
        <w:ind w:firstLine="624"/>
        <w:textAlignment w:val="auto"/>
        <w:rPr>
          <w:rFonts w:ascii="仿宋" w:hAnsi="仿宋" w:eastAsia="仿宋" w:cs="仿宋"/>
          <w:spacing w:val="6"/>
          <w:sz w:val="28"/>
          <w:szCs w:val="28"/>
        </w:rPr>
      </w:pPr>
      <w:r>
        <w:rPr>
          <w:rFonts w:hint="eastAsia" w:ascii="仿宋" w:hAnsi="仿宋" w:eastAsia="仿宋" w:cs="仿宋"/>
          <w:spacing w:val="6"/>
          <w:sz w:val="28"/>
          <w:szCs w:val="28"/>
        </w:rPr>
        <w:t xml:space="preserve">项目名称：新沂市城市“绿岛”项目环卫特种作业车辆采购项目 </w:t>
      </w:r>
    </w:p>
    <w:p>
      <w:pPr>
        <w:pStyle w:val="43"/>
        <w:pageBreakBefore w:val="0"/>
        <w:wordWrap/>
        <w:topLinePunct w:val="0"/>
        <w:autoSpaceDE/>
        <w:autoSpaceDN/>
        <w:bidi w:val="0"/>
        <w:adjustRightInd/>
        <w:snapToGrid/>
        <w:spacing w:line="440" w:lineRule="exact"/>
        <w:ind w:firstLine="624"/>
        <w:textAlignment w:val="auto"/>
        <w:rPr>
          <w:rFonts w:hint="eastAsia" w:ascii="仿宋" w:hAnsi="仿宋" w:eastAsia="仿宋" w:cs="仿宋"/>
          <w:spacing w:val="6"/>
          <w:sz w:val="28"/>
          <w:szCs w:val="28"/>
          <w:lang w:eastAsia="zh-CN"/>
        </w:rPr>
      </w:pPr>
      <w:r>
        <w:rPr>
          <w:rFonts w:hint="eastAsia" w:ascii="仿宋" w:hAnsi="仿宋" w:eastAsia="仿宋" w:cs="仿宋"/>
          <w:spacing w:val="6"/>
          <w:sz w:val="28"/>
          <w:szCs w:val="28"/>
        </w:rPr>
        <w:t>项目编号：</w:t>
      </w:r>
      <w:r>
        <w:rPr>
          <w:rFonts w:hint="eastAsia" w:ascii="仿宋" w:hAnsi="仿宋" w:eastAsia="仿宋" w:cs="仿宋"/>
          <w:spacing w:val="6"/>
          <w:sz w:val="28"/>
          <w:szCs w:val="28"/>
          <w:lang w:eastAsia="zh-CN"/>
        </w:rPr>
        <w:t>JSZC-320381-XZPS-G2025-0005</w:t>
      </w:r>
    </w:p>
    <w:p>
      <w:pPr>
        <w:pStyle w:val="43"/>
        <w:pageBreakBefore w:val="0"/>
        <w:wordWrap/>
        <w:topLinePunct w:val="0"/>
        <w:autoSpaceDE/>
        <w:autoSpaceDN/>
        <w:bidi w:val="0"/>
        <w:adjustRightInd/>
        <w:snapToGrid/>
        <w:spacing w:line="440" w:lineRule="exact"/>
        <w:ind w:firstLine="624"/>
        <w:textAlignment w:val="auto"/>
        <w:rPr>
          <w:rFonts w:ascii="仿宋" w:hAnsi="仿宋" w:eastAsia="仿宋" w:cs="仿宋"/>
          <w:spacing w:val="6"/>
          <w:sz w:val="28"/>
          <w:szCs w:val="28"/>
        </w:rPr>
      </w:pPr>
      <w:r>
        <w:rPr>
          <w:rFonts w:hint="eastAsia" w:ascii="仿宋" w:hAnsi="仿宋" w:eastAsia="仿宋" w:cs="仿宋"/>
          <w:spacing w:val="6"/>
          <w:sz w:val="28"/>
          <w:szCs w:val="28"/>
        </w:rPr>
        <w:t>本单位郑重声明，根据《财政部 民政部 中国残疾人联合会关于促进残疾人就业政府采购政策的通知》（财库</w:t>
      </w:r>
      <w:r>
        <w:rPr>
          <w:rFonts w:hint="eastAsia" w:ascii="仿宋" w:hAnsi="仿宋" w:eastAsia="仿宋" w:cs="仿宋"/>
          <w:sz w:val="28"/>
          <w:szCs w:val="28"/>
        </w:rPr>
        <w:t>〔2017〕 141</w:t>
      </w:r>
      <w:r>
        <w:rPr>
          <w:rFonts w:hint="eastAsia" w:ascii="仿宋" w:hAnsi="仿宋" w:eastAsia="仿宋" w:cs="仿宋"/>
          <w:spacing w:val="6"/>
          <w:sz w:val="28"/>
          <w:szCs w:val="28"/>
        </w:rPr>
        <w:t>号）的规定，本单位为符合条件的残疾人福利性单位，且本单位参加</w:t>
      </w:r>
      <w:r>
        <w:rPr>
          <w:rFonts w:hint="eastAsia" w:ascii="仿宋" w:hAnsi="仿宋" w:eastAsia="仿宋" w:cs="仿宋"/>
          <w:sz w:val="28"/>
          <w:szCs w:val="28"/>
          <w:u w:val="single"/>
        </w:rPr>
        <w:t>______</w:t>
      </w:r>
      <w:r>
        <w:rPr>
          <w:rFonts w:hint="eastAsia" w:ascii="仿宋" w:hAnsi="仿宋" w:eastAsia="仿宋" w:cs="仿宋"/>
          <w:spacing w:val="6"/>
          <w:sz w:val="28"/>
          <w:szCs w:val="28"/>
        </w:rPr>
        <w:t>单位的</w:t>
      </w:r>
      <w:r>
        <w:rPr>
          <w:rFonts w:hint="eastAsia" w:ascii="仿宋" w:hAnsi="仿宋" w:eastAsia="仿宋" w:cs="仿宋"/>
          <w:sz w:val="28"/>
          <w:szCs w:val="28"/>
          <w:u w:val="single"/>
        </w:rPr>
        <w:t>______</w:t>
      </w:r>
      <w:r>
        <w:rPr>
          <w:rFonts w:hint="eastAsia" w:ascii="仿宋" w:hAnsi="仿宋" w:eastAsia="仿宋" w:cs="仿宋"/>
          <w:spacing w:val="6"/>
          <w:sz w:val="28"/>
          <w:szCs w:val="28"/>
        </w:rPr>
        <w:t>项目采购活动提供本单位制造的货物（由本单位承担工程/提供服务），或者提供其他残疾人福利性单位制造的货物（不包括使用非残疾人福利性单位注册商标的货物）。</w:t>
      </w:r>
    </w:p>
    <w:p>
      <w:pPr>
        <w:pStyle w:val="43"/>
        <w:pageBreakBefore w:val="0"/>
        <w:wordWrap/>
        <w:topLinePunct w:val="0"/>
        <w:autoSpaceDE/>
        <w:autoSpaceDN/>
        <w:bidi w:val="0"/>
        <w:adjustRightInd/>
        <w:snapToGrid/>
        <w:spacing w:line="440" w:lineRule="exact"/>
        <w:ind w:firstLine="624"/>
        <w:textAlignment w:val="auto"/>
        <w:rPr>
          <w:rFonts w:ascii="仿宋" w:hAnsi="仿宋" w:eastAsia="仿宋" w:cs="仿宋"/>
          <w:spacing w:val="6"/>
          <w:sz w:val="28"/>
          <w:szCs w:val="28"/>
        </w:rPr>
      </w:pPr>
      <w:r>
        <w:rPr>
          <w:rFonts w:hint="eastAsia" w:ascii="仿宋" w:hAnsi="仿宋" w:eastAsia="仿宋" w:cs="仿宋"/>
          <w:spacing w:val="6"/>
          <w:sz w:val="28"/>
          <w:szCs w:val="28"/>
        </w:rPr>
        <w:t>本单位对上述声明的真实性负责。如有虚假，将依法承担相应责任。</w:t>
      </w:r>
    </w:p>
    <w:p>
      <w:pPr>
        <w:pStyle w:val="43"/>
        <w:pageBreakBefore w:val="0"/>
        <w:wordWrap/>
        <w:topLinePunct w:val="0"/>
        <w:autoSpaceDE/>
        <w:autoSpaceDN/>
        <w:bidi w:val="0"/>
        <w:adjustRightInd/>
        <w:snapToGrid/>
        <w:spacing w:line="440" w:lineRule="exact"/>
        <w:ind w:firstLine="624"/>
        <w:textAlignment w:val="auto"/>
        <w:rPr>
          <w:rFonts w:ascii="仿宋" w:hAnsi="仿宋" w:eastAsia="仿宋" w:cs="仿宋"/>
          <w:spacing w:val="6"/>
          <w:sz w:val="28"/>
          <w:szCs w:val="28"/>
        </w:rPr>
      </w:pPr>
    </w:p>
    <w:p>
      <w:pPr>
        <w:pStyle w:val="43"/>
        <w:pageBreakBefore w:val="0"/>
        <w:wordWrap/>
        <w:topLinePunct w:val="0"/>
        <w:autoSpaceDE/>
        <w:autoSpaceDN/>
        <w:bidi w:val="0"/>
        <w:adjustRightInd/>
        <w:snapToGrid/>
        <w:spacing w:line="440" w:lineRule="exact"/>
        <w:ind w:firstLine="624"/>
        <w:textAlignment w:val="auto"/>
        <w:rPr>
          <w:rFonts w:ascii="仿宋" w:hAnsi="仿宋" w:eastAsia="仿宋" w:cs="仿宋"/>
          <w:spacing w:val="6"/>
          <w:sz w:val="28"/>
          <w:szCs w:val="28"/>
        </w:rPr>
      </w:pPr>
    </w:p>
    <w:p>
      <w:pPr>
        <w:pStyle w:val="43"/>
        <w:pageBreakBefore w:val="0"/>
        <w:wordWrap/>
        <w:topLinePunct w:val="0"/>
        <w:autoSpaceDE/>
        <w:autoSpaceDN/>
        <w:bidi w:val="0"/>
        <w:adjustRightInd/>
        <w:snapToGrid/>
        <w:spacing w:line="440" w:lineRule="exact"/>
        <w:ind w:firstLine="2550"/>
        <w:textAlignment w:val="auto"/>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（电子签章）</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 xml:space="preserve">            </w:t>
      </w:r>
    </w:p>
    <w:p>
      <w:pPr>
        <w:pStyle w:val="43"/>
        <w:pageBreakBefore w:val="0"/>
        <w:wordWrap/>
        <w:topLinePunct w:val="0"/>
        <w:autoSpaceDE/>
        <w:autoSpaceDN/>
        <w:bidi w:val="0"/>
        <w:adjustRightInd/>
        <w:snapToGrid/>
        <w:spacing w:line="440" w:lineRule="exact"/>
        <w:ind w:firstLine="45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4500"/>
        <w:textAlignment w:val="auto"/>
        <w:rPr>
          <w:rFonts w:ascii="仿宋" w:hAnsi="仿宋" w:eastAsia="仿宋" w:cs="仿宋"/>
          <w:sz w:val="28"/>
          <w:szCs w:val="28"/>
        </w:rPr>
      </w:pPr>
      <w:r>
        <w:rPr>
          <w:rFonts w:hint="eastAsia" w:ascii="仿宋" w:hAnsi="仿宋" w:eastAsia="仿宋" w:cs="仿宋"/>
          <w:sz w:val="28"/>
          <w:szCs w:val="28"/>
        </w:rPr>
        <w:t>日期：   年  月  日</w:t>
      </w:r>
    </w:p>
    <w:p>
      <w:pPr>
        <w:pStyle w:val="43"/>
        <w:pageBreakBefore w:val="0"/>
        <w:wordWrap/>
        <w:topLinePunct w:val="0"/>
        <w:autoSpaceDE/>
        <w:autoSpaceDN/>
        <w:bidi w:val="0"/>
        <w:adjustRightInd/>
        <w:snapToGrid/>
        <w:spacing w:line="440" w:lineRule="exact"/>
        <w:ind w:firstLine="45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r>
        <w:rPr>
          <w:rFonts w:hint="eastAsia" w:ascii="仿宋" w:hAnsi="仿宋" w:eastAsia="仿宋" w:cs="仿宋"/>
          <w:sz w:val="28"/>
          <w:szCs w:val="28"/>
        </w:rPr>
        <w:br w:type="page" w:clear="all"/>
      </w:r>
      <w:r>
        <w:rPr>
          <w:rFonts w:hint="eastAsia" w:ascii="仿宋" w:hAnsi="仿宋" w:eastAsia="仿宋" w:cs="仿宋"/>
          <w:sz w:val="28"/>
          <w:szCs w:val="28"/>
        </w:rPr>
        <w:t xml:space="preserve">    </w:t>
      </w:r>
      <w:r>
        <w:rPr>
          <w:rFonts w:hint="eastAsia" w:ascii="仿宋" w:hAnsi="仿宋" w:eastAsia="仿宋" w:cs="仿宋"/>
          <w:color w:val="000000"/>
          <w:sz w:val="28"/>
          <w:szCs w:val="28"/>
        </w:rPr>
        <w:t>八、具备履行合同所必需的设备和专业技术能力的书面声明</w:t>
      </w:r>
    </w:p>
    <w:p>
      <w:pPr>
        <w:pageBreakBefore w:val="0"/>
        <w:wordWrap/>
        <w:topLinePunct w:val="0"/>
        <w:autoSpaceDE/>
        <w:autoSpaceDN/>
        <w:bidi w:val="0"/>
        <w:adjustRightInd/>
        <w:snapToGrid/>
        <w:spacing w:line="440" w:lineRule="exact"/>
        <w:ind w:firstLine="2520"/>
        <w:textAlignment w:val="auto"/>
        <w:rPr>
          <w:rFonts w:ascii="仿宋" w:hAnsi="仿宋" w:eastAsia="仿宋" w:cs="仿宋"/>
          <w:color w:val="000000"/>
          <w:sz w:val="28"/>
          <w:szCs w:val="28"/>
        </w:rPr>
      </w:pPr>
      <w:r>
        <w:rPr>
          <w:rFonts w:hint="eastAsia" w:ascii="仿宋" w:hAnsi="仿宋" w:eastAsia="仿宋" w:cs="仿宋"/>
          <w:color w:val="000000"/>
          <w:sz w:val="28"/>
          <w:szCs w:val="28"/>
        </w:rPr>
        <w:t>（附证明材料的扫描件）</w:t>
      </w:r>
    </w:p>
    <w:p>
      <w:pPr>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 xml:space="preserve">项目名称：新沂市城市“绿岛”项目环卫特种作业车辆采购项目 </w:t>
      </w:r>
    </w:p>
    <w:p>
      <w:pPr>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项目编号：</w:t>
      </w:r>
      <w:r>
        <w:rPr>
          <w:rFonts w:hint="eastAsia" w:ascii="仿宋" w:hAnsi="仿宋" w:eastAsia="仿宋" w:cs="仿宋"/>
          <w:color w:val="000000"/>
          <w:spacing w:val="6"/>
          <w:sz w:val="28"/>
          <w:szCs w:val="28"/>
          <w:lang w:eastAsia="zh-CN"/>
        </w:rPr>
        <w:t>JSZC-320381-XZPS-G2025-0005</w:t>
      </w:r>
      <w:r>
        <w:rPr>
          <w:rFonts w:hint="eastAsia" w:ascii="仿宋" w:hAnsi="仿宋" w:eastAsia="仿宋" w:cs="仿宋"/>
          <w:color w:val="000000"/>
          <w:spacing w:val="6"/>
          <w:sz w:val="28"/>
          <w:szCs w:val="28"/>
        </w:rPr>
        <w:t> </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投标人郑重声明：投标人具备履行合同（项目名称：新沂市城市“绿岛”</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项目环卫特种作业车辆采购项目，项目编号：</w:t>
      </w:r>
      <w:r>
        <w:rPr>
          <w:rFonts w:hint="eastAsia" w:ascii="仿宋" w:hAnsi="仿宋" w:eastAsia="仿宋" w:cs="仿宋"/>
          <w:color w:val="000000"/>
          <w:sz w:val="28"/>
          <w:szCs w:val="28"/>
          <w:lang w:eastAsia="zh-CN"/>
        </w:rPr>
        <w:t>JSZC-320381-XZPS-G2025-0005</w:t>
      </w:r>
      <w:r>
        <w:rPr>
          <w:rFonts w:hint="eastAsia" w:ascii="仿宋" w:hAnsi="仿宋" w:eastAsia="仿宋" w:cs="仿宋"/>
          <w:color w:val="000000"/>
          <w:sz w:val="28"/>
          <w:szCs w:val="28"/>
        </w:rPr>
        <w:t> ）所必需的设备和专业技术能力，具体为：</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设备：</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（证明材料的扫描件附后）</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（证明材料的扫描件附后）</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（证明材料的扫描件附后）</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专业技术能力：</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（证明材料的扫描件附后）</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（证明材料的扫描件附后）</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（证明材料的扫描件附后）</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特此声明。</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r>
        <w:rPr>
          <w:rFonts w:hint="eastAsia" w:ascii="仿宋" w:hAnsi="仿宋" w:eastAsia="仿宋" w:cs="仿宋"/>
          <w:color w:val="000000"/>
          <w:sz w:val="28"/>
          <w:szCs w:val="28"/>
        </w:rPr>
        <w:t>投标人对上述声明的真实性负责。如有虚假，将依法承担相应责任。</w:t>
      </w: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600"/>
        <w:jc w:val="left"/>
        <w:textAlignment w:val="auto"/>
        <w:rPr>
          <w:rFonts w:ascii="仿宋" w:hAnsi="仿宋" w:eastAsia="仿宋" w:cs="仿宋"/>
          <w:color w:val="000000"/>
          <w:sz w:val="28"/>
          <w:szCs w:val="28"/>
        </w:rPr>
      </w:pPr>
    </w:p>
    <w:p>
      <w:pPr>
        <w:pageBreakBefore w:val="0"/>
        <w:wordWrap/>
        <w:topLinePunct w:val="0"/>
        <w:autoSpaceDE/>
        <w:autoSpaceDN/>
        <w:bidi w:val="0"/>
        <w:adjustRightInd/>
        <w:snapToGrid/>
        <w:spacing w:line="440" w:lineRule="exact"/>
        <w:ind w:firstLine="600"/>
        <w:jc w:val="right"/>
        <w:textAlignment w:val="auto"/>
        <w:rPr>
          <w:rFonts w:ascii="仿宋" w:hAnsi="仿宋" w:eastAsia="仿宋" w:cs="仿宋"/>
          <w:color w:val="000000"/>
          <w:sz w:val="28"/>
          <w:szCs w:val="28"/>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（电子签章） </w:t>
      </w:r>
    </w:p>
    <w:p>
      <w:pPr>
        <w:pageBreakBefore w:val="0"/>
        <w:wordWrap/>
        <w:topLinePunct w:val="0"/>
        <w:autoSpaceDE/>
        <w:autoSpaceDN/>
        <w:bidi w:val="0"/>
        <w:adjustRightInd/>
        <w:snapToGrid/>
        <w:spacing w:line="440" w:lineRule="exact"/>
        <w:ind w:firstLine="600"/>
        <w:jc w:val="right"/>
        <w:textAlignment w:val="auto"/>
        <w:rPr>
          <w:rFonts w:ascii="仿宋" w:hAnsi="仿宋" w:eastAsia="仿宋" w:cs="仿宋"/>
          <w:color w:val="000000"/>
          <w:sz w:val="30"/>
          <w:szCs w:val="30"/>
        </w:rPr>
      </w:pPr>
      <w:r>
        <w:rPr>
          <w:rFonts w:hint="eastAsia" w:ascii="仿宋" w:hAnsi="仿宋" w:eastAsia="仿宋" w:cs="仿宋"/>
          <w:color w:val="000000"/>
          <w:sz w:val="28"/>
          <w:szCs w:val="28"/>
        </w:rPr>
        <w:t>日期：   年  月  日</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ageBreakBefore w:val="0"/>
        <w:wordWrap/>
        <w:topLinePunct w:val="0"/>
        <w:autoSpaceDE/>
        <w:autoSpaceDN/>
        <w:bidi w:val="0"/>
        <w:adjustRightInd/>
        <w:snapToGrid/>
        <w:spacing w:line="440" w:lineRule="exact"/>
        <w:textAlignment w:val="auto"/>
        <w:rPr>
          <w:rFonts w:ascii="仿宋" w:hAnsi="仿宋" w:eastAsia="仿宋" w:cs="仿宋"/>
          <w:sz w:val="28"/>
          <w:szCs w:val="28"/>
        </w:rPr>
      </w:pPr>
      <w:r>
        <w:rPr>
          <w:rFonts w:hint="eastAsia" w:ascii="仿宋" w:hAnsi="仿宋" w:eastAsia="仿宋" w:cs="仿宋"/>
          <w:sz w:val="28"/>
          <w:szCs w:val="28"/>
        </w:rPr>
        <w:br w:type="page"/>
      </w:r>
    </w:p>
    <w:p>
      <w:pPr>
        <w:pStyle w:val="43"/>
        <w:pageBreakBefore w:val="0"/>
        <w:wordWrap/>
        <w:topLinePunct w:val="0"/>
        <w:autoSpaceDE/>
        <w:autoSpaceDN/>
        <w:bidi w:val="0"/>
        <w:adjustRightInd/>
        <w:snapToGrid/>
        <w:spacing w:line="440" w:lineRule="exact"/>
        <w:ind w:firstLine="600"/>
        <w:jc w:val="center"/>
        <w:textAlignment w:val="auto"/>
        <w:rPr>
          <w:rFonts w:ascii="仿宋" w:hAnsi="仿宋" w:eastAsia="仿宋" w:cs="仿宋"/>
          <w:sz w:val="28"/>
          <w:szCs w:val="28"/>
        </w:rPr>
      </w:pPr>
      <w:r>
        <w:rPr>
          <w:rFonts w:hint="eastAsia" w:ascii="仿宋" w:hAnsi="仿宋" w:eastAsia="仿宋" w:cs="仿宋"/>
          <w:sz w:val="28"/>
          <w:szCs w:val="28"/>
        </w:rPr>
        <w:t>九、投标人参加政府采购活动前3年内在经营活动中没有重大违法记录的书面声明格式</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我单位在参加新沂市城市“绿岛”项目环卫特种作业车辆采购项目（项目编号：</w:t>
      </w:r>
      <w:r>
        <w:rPr>
          <w:rFonts w:hint="eastAsia" w:ascii="仿宋" w:hAnsi="仿宋" w:eastAsia="仿宋" w:cs="仿宋"/>
          <w:sz w:val="28"/>
          <w:szCs w:val="28"/>
          <w:lang w:eastAsia="zh-CN"/>
        </w:rPr>
        <w:t>JSZC-320381-XZPS-G2025-0005</w:t>
      </w:r>
      <w:r>
        <w:rPr>
          <w:rFonts w:hint="eastAsia" w:ascii="仿宋" w:hAnsi="仿宋" w:eastAsia="仿宋" w:cs="仿宋"/>
          <w:sz w:val="28"/>
          <w:szCs w:val="28"/>
        </w:rPr>
        <w:t>）政府采购活动前3年内，在经营活动中没有重大违法记录。重大违法记录是指因违法经营受到刑事处罚或者责令停产停业、吊销许可证或者执照、较大数额罚款等行政处罚。</w:t>
      </w:r>
    </w:p>
    <w:p>
      <w:pPr>
        <w:pStyle w:val="220"/>
        <w:pageBreakBefore w:val="0"/>
        <w:wordWrap/>
        <w:topLinePunct w:val="0"/>
        <w:autoSpaceDE/>
        <w:autoSpaceDN/>
        <w:bidi w:val="0"/>
        <w:adjustRightInd/>
        <w:snapToGrid/>
        <w:spacing w:before="0" w:beforeAutospacing="0" w:after="0" w:afterAutospacing="0"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我单位对上述声明的真实性负责。如有虚假，将依法承担相应责任。</w:t>
      </w: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2850"/>
        <w:jc w:val="right"/>
        <w:textAlignment w:val="auto"/>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（电子签章）</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sz w:val="28"/>
          <w:szCs w:val="28"/>
        </w:rPr>
      </w:pPr>
      <w:r>
        <w:rPr>
          <w:rFonts w:hint="eastAsia" w:ascii="仿宋" w:hAnsi="仿宋" w:eastAsia="仿宋" w:cs="仿宋"/>
          <w:sz w:val="28"/>
          <w:szCs w:val="28"/>
        </w:rPr>
        <w:t xml:space="preserve">             </w:t>
      </w:r>
    </w:p>
    <w:p>
      <w:pPr>
        <w:pStyle w:val="43"/>
        <w:pageBreakBefore w:val="0"/>
        <w:wordWrap/>
        <w:topLinePunct w:val="0"/>
        <w:autoSpaceDE/>
        <w:autoSpaceDN/>
        <w:bidi w:val="0"/>
        <w:adjustRightInd/>
        <w:snapToGrid/>
        <w:spacing w:line="440" w:lineRule="exact"/>
        <w:ind w:firstLine="4500"/>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4950"/>
        <w:jc w:val="right"/>
        <w:textAlignment w:val="auto"/>
        <w:rPr>
          <w:rFonts w:ascii="仿宋" w:hAnsi="仿宋" w:eastAsia="仿宋" w:cs="仿宋"/>
          <w:sz w:val="28"/>
          <w:szCs w:val="28"/>
        </w:rPr>
      </w:pPr>
      <w:r>
        <w:rPr>
          <w:rFonts w:hint="eastAsia" w:ascii="仿宋" w:hAnsi="仿宋" w:eastAsia="仿宋" w:cs="仿宋"/>
          <w:sz w:val="28"/>
          <w:szCs w:val="28"/>
        </w:rPr>
        <w:t>日期：   年  月  日</w:t>
      </w: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Cs/>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Cs/>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Cs/>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Cs/>
          <w:sz w:val="28"/>
          <w:szCs w:val="28"/>
        </w:rPr>
      </w:pPr>
    </w:p>
    <w:p>
      <w:pPr>
        <w:pStyle w:val="43"/>
        <w:pageBreakBefore w:val="0"/>
        <w:wordWrap/>
        <w:topLinePunct w:val="0"/>
        <w:autoSpaceDE/>
        <w:autoSpaceDN/>
        <w:bidi w:val="0"/>
        <w:adjustRightInd/>
        <w:snapToGrid/>
        <w:spacing w:line="440" w:lineRule="exact"/>
        <w:ind w:firstLine="600"/>
        <w:textAlignment w:val="auto"/>
        <w:rPr>
          <w:rFonts w:ascii="仿宋" w:hAnsi="仿宋" w:eastAsia="仿宋" w:cs="仿宋"/>
          <w:bCs/>
          <w:sz w:val="28"/>
          <w:szCs w:val="28"/>
        </w:rPr>
      </w:pPr>
    </w:p>
    <w:p>
      <w:pPr>
        <w:pStyle w:val="43"/>
        <w:pageBreakBefore w:val="0"/>
        <w:widowControl/>
        <w:wordWrap/>
        <w:topLinePunct w:val="0"/>
        <w:autoSpaceDE/>
        <w:autoSpaceDN/>
        <w:bidi w:val="0"/>
        <w:adjustRightInd/>
        <w:snapToGrid/>
        <w:spacing w:line="440" w:lineRule="exact"/>
        <w:ind w:firstLine="747"/>
        <w:jc w:val="left"/>
        <w:textAlignment w:val="auto"/>
        <w:rPr>
          <w:rFonts w:ascii="仿宋" w:hAnsi="仿宋" w:eastAsia="仿宋" w:cs="仿宋"/>
          <w:bCs/>
          <w:color w:val="000000"/>
          <w:sz w:val="28"/>
          <w:szCs w:val="28"/>
        </w:rPr>
      </w:pPr>
      <w:r>
        <w:rPr>
          <w:rFonts w:hint="eastAsia" w:ascii="仿宋" w:hAnsi="仿宋" w:eastAsia="仿宋" w:cs="仿宋"/>
          <w:b/>
          <w:sz w:val="28"/>
          <w:szCs w:val="28"/>
        </w:rPr>
        <w:br w:type="page" w:clear="all"/>
      </w:r>
      <w:r>
        <w:rPr>
          <w:rFonts w:hint="eastAsia" w:ascii="仿宋" w:hAnsi="仿宋" w:eastAsia="仿宋" w:cs="仿宋"/>
          <w:bCs/>
          <w:color w:val="000000"/>
          <w:spacing w:val="6"/>
          <w:sz w:val="28"/>
          <w:szCs w:val="28"/>
        </w:rPr>
        <w:t>十、投标人相关承诺</w:t>
      </w:r>
    </w:p>
    <w:p>
      <w:pPr>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p>
    <w:p>
      <w:pPr>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 xml:space="preserve">项目名称：新沂市城市“绿岛”项目环卫特种作业车辆采购项目 </w:t>
      </w:r>
    </w:p>
    <w:p>
      <w:pPr>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项目编号：</w:t>
      </w:r>
      <w:r>
        <w:rPr>
          <w:rFonts w:hint="eastAsia" w:ascii="仿宋" w:hAnsi="仿宋" w:eastAsia="仿宋" w:cs="仿宋"/>
          <w:color w:val="000000"/>
          <w:spacing w:val="6"/>
          <w:sz w:val="28"/>
          <w:szCs w:val="28"/>
          <w:lang w:eastAsia="zh-CN"/>
        </w:rPr>
        <w:t>JSZC-320381-XZPS-G2025-0005</w:t>
      </w:r>
      <w:r>
        <w:rPr>
          <w:rFonts w:hint="eastAsia" w:ascii="仿宋" w:hAnsi="仿宋" w:eastAsia="仿宋" w:cs="仿宋"/>
          <w:color w:val="000000"/>
          <w:spacing w:val="6"/>
          <w:sz w:val="28"/>
          <w:szCs w:val="28"/>
        </w:rPr>
        <w:t> </w:t>
      </w:r>
    </w:p>
    <w:p>
      <w:pPr>
        <w:pStyle w:val="43"/>
        <w:pageBreakBefore w:val="0"/>
        <w:wordWrap/>
        <w:topLinePunct w:val="0"/>
        <w:autoSpaceDE/>
        <w:autoSpaceDN/>
        <w:bidi w:val="0"/>
        <w:adjustRightInd/>
        <w:snapToGrid/>
        <w:spacing w:line="440" w:lineRule="exact"/>
        <w:ind w:firstLine="584"/>
        <w:textAlignment w:val="auto"/>
        <w:rPr>
          <w:rFonts w:ascii="仿宋" w:hAnsi="仿宋" w:eastAsia="仿宋" w:cs="仿宋"/>
          <w:color w:val="000000"/>
          <w:spacing w:val="6"/>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我单位承诺：</w:t>
      </w:r>
    </w:p>
    <w:p>
      <w:pPr>
        <w:pStyle w:val="43"/>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如有参与同一合同项下政府采购活动的投标人与我单位存在负责人为同一人的情况或者存在直接控股、管理关系，我单位不再参加该同一合同项下的政府采购活动。</w:t>
      </w: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pacing w:val="6"/>
          <w:sz w:val="28"/>
          <w:szCs w:val="28"/>
        </w:rPr>
      </w:pPr>
    </w:p>
    <w:p>
      <w:pPr>
        <w:pStyle w:val="43"/>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我单位对上述承诺负责，并依法承担相应责任。</w:t>
      </w:r>
    </w:p>
    <w:p>
      <w:pPr>
        <w:pStyle w:val="221"/>
        <w:pageBreakBefore w:val="0"/>
        <w:wordWrap/>
        <w:topLinePunct w:val="0"/>
        <w:autoSpaceDE/>
        <w:autoSpaceDN/>
        <w:bidi w:val="0"/>
        <w:adjustRightInd/>
        <w:snapToGrid/>
        <w:spacing w:line="440" w:lineRule="exact"/>
        <w:ind w:left="0" w:firstLine="0"/>
        <w:textAlignment w:val="auto"/>
        <w:rPr>
          <w:rFonts w:ascii="仿宋" w:hAnsi="仿宋" w:eastAsia="仿宋" w:cs="仿宋"/>
          <w:color w:val="000000"/>
          <w:sz w:val="28"/>
          <w:szCs w:val="28"/>
        </w:rPr>
      </w:pPr>
    </w:p>
    <w:p>
      <w:pPr>
        <w:pStyle w:val="221"/>
        <w:pageBreakBefore w:val="0"/>
        <w:wordWrap/>
        <w:topLinePunct w:val="0"/>
        <w:autoSpaceDE/>
        <w:autoSpaceDN/>
        <w:bidi w:val="0"/>
        <w:adjustRightInd/>
        <w:snapToGrid/>
        <w:spacing w:line="440" w:lineRule="exact"/>
        <w:textAlignment w:val="auto"/>
        <w:rPr>
          <w:rFonts w:ascii="仿宋" w:hAnsi="仿宋" w:eastAsia="仿宋" w:cs="仿宋"/>
          <w:color w:val="000000"/>
          <w:spacing w:val="6"/>
          <w:sz w:val="28"/>
          <w:szCs w:val="28"/>
        </w:rPr>
      </w:pPr>
    </w:p>
    <w:p>
      <w:pPr>
        <w:pStyle w:val="43"/>
        <w:pageBreakBefore w:val="0"/>
        <w:wordWrap/>
        <w:topLinePunct w:val="0"/>
        <w:autoSpaceDE/>
        <w:autoSpaceDN/>
        <w:bidi w:val="0"/>
        <w:adjustRightInd/>
        <w:snapToGrid/>
        <w:spacing w:line="440" w:lineRule="exact"/>
        <w:ind w:firstLine="3120"/>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 xml:space="preserve">投标人（电子签章）： </w:t>
      </w:r>
    </w:p>
    <w:p>
      <w:pPr>
        <w:pStyle w:val="43"/>
        <w:pageBreakBefore w:val="0"/>
        <w:wordWrap/>
        <w:topLinePunct w:val="0"/>
        <w:autoSpaceDE/>
        <w:autoSpaceDN/>
        <w:bidi w:val="0"/>
        <w:adjustRightInd/>
        <w:snapToGrid/>
        <w:spacing w:line="440" w:lineRule="exact"/>
        <w:ind w:firstLine="3120"/>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日期：   年  月  日</w:t>
      </w:r>
    </w:p>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30"/>
          <w:szCs w:val="30"/>
        </w:rPr>
      </w:pPr>
    </w:p>
    <w:p>
      <w:pPr>
        <w:pStyle w:val="43"/>
        <w:pageBreakBefore w:val="0"/>
        <w:wordWrap/>
        <w:topLinePunct w:val="0"/>
        <w:autoSpaceDE/>
        <w:autoSpaceDN/>
        <w:bidi w:val="0"/>
        <w:adjustRightInd/>
        <w:snapToGrid/>
        <w:spacing w:line="440" w:lineRule="exact"/>
        <w:jc w:val="center"/>
        <w:textAlignment w:val="auto"/>
        <w:rPr>
          <w:rFonts w:ascii="仿宋" w:hAnsi="仿宋" w:eastAsia="仿宋" w:cs="仿宋"/>
          <w:color w:val="000000"/>
          <w:sz w:val="30"/>
          <w:szCs w:val="30"/>
        </w:rPr>
      </w:pPr>
    </w:p>
    <w:p>
      <w:pPr>
        <w:pStyle w:val="43"/>
        <w:pageBreakBefore w:val="0"/>
        <w:wordWrap/>
        <w:topLinePunct w:val="0"/>
        <w:autoSpaceDE/>
        <w:autoSpaceDN/>
        <w:bidi w:val="0"/>
        <w:adjustRightInd/>
        <w:snapToGrid/>
        <w:spacing w:line="440" w:lineRule="exact"/>
        <w:ind w:firstLine="700"/>
        <w:textAlignment w:val="auto"/>
        <w:rPr>
          <w:rFonts w:ascii="仿宋" w:hAnsi="仿宋" w:eastAsia="仿宋" w:cs="仿宋"/>
          <w:color w:val="000000"/>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Style w:val="43"/>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Style w:val="221"/>
        <w:pageBreakBefore w:val="0"/>
        <w:wordWrap/>
        <w:topLinePunct w:val="0"/>
        <w:autoSpaceDE/>
        <w:autoSpaceDN/>
        <w:bidi w:val="0"/>
        <w:adjustRightInd/>
        <w:snapToGrid/>
        <w:spacing w:line="440" w:lineRule="exact"/>
        <w:textAlignment w:val="auto"/>
        <w:rPr>
          <w:rFonts w:ascii="仿宋" w:hAnsi="仿宋" w:eastAsia="仿宋" w:cs="仿宋"/>
          <w:color w:val="000000"/>
        </w:rPr>
      </w:pPr>
    </w:p>
    <w:p>
      <w:pPr>
        <w:pStyle w:val="43"/>
        <w:pageBreakBefore w:val="0"/>
        <w:widowControl/>
        <w:wordWrap/>
        <w:topLinePunct w:val="0"/>
        <w:autoSpaceDE/>
        <w:autoSpaceDN/>
        <w:bidi w:val="0"/>
        <w:adjustRightInd/>
        <w:snapToGrid/>
        <w:spacing w:line="440" w:lineRule="exact"/>
        <w:ind w:firstLine="560"/>
        <w:textAlignment w:val="auto"/>
        <w:rPr>
          <w:rFonts w:ascii="仿宋" w:hAnsi="仿宋" w:eastAsia="仿宋" w:cs="仿宋"/>
          <w:color w:val="000000"/>
          <w:sz w:val="28"/>
          <w:szCs w:val="28"/>
        </w:rPr>
      </w:pPr>
      <w:r>
        <w:rPr>
          <w:rFonts w:hint="eastAsia" w:ascii="仿宋" w:hAnsi="仿宋" w:eastAsia="仿宋" w:cs="仿宋"/>
          <w:color w:val="000000"/>
          <w:sz w:val="28"/>
          <w:szCs w:val="28"/>
        </w:rPr>
        <w:br w:type="page" w:clear="all"/>
      </w:r>
      <w:r>
        <w:rPr>
          <w:rFonts w:hint="eastAsia" w:ascii="仿宋" w:hAnsi="仿宋" w:eastAsia="仿宋" w:cs="仿宋"/>
          <w:color w:val="000000"/>
          <w:sz w:val="28"/>
          <w:szCs w:val="28"/>
        </w:rPr>
        <w:t>十一、投标人</w:t>
      </w:r>
      <w:r>
        <w:rPr>
          <w:rFonts w:hint="eastAsia" w:ascii="仿宋" w:hAnsi="仿宋" w:eastAsia="仿宋" w:cs="仿宋"/>
          <w:color w:val="000000"/>
          <w:spacing w:val="6"/>
          <w:sz w:val="28"/>
          <w:szCs w:val="28"/>
        </w:rPr>
        <w:t>书面声明</w:t>
      </w:r>
    </w:p>
    <w:p>
      <w:pPr>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p>
    <w:p>
      <w:pPr>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 xml:space="preserve">项目名称：新沂市城市“绿岛”项目环卫特种作业车辆采购项目 </w:t>
      </w:r>
    </w:p>
    <w:p>
      <w:pPr>
        <w:pageBreakBefore w:val="0"/>
        <w:wordWrap/>
        <w:topLinePunct w:val="0"/>
        <w:autoSpaceDE/>
        <w:autoSpaceDN/>
        <w:bidi w:val="0"/>
        <w:adjustRightInd/>
        <w:snapToGrid/>
        <w:spacing w:line="440" w:lineRule="exact"/>
        <w:ind w:firstLine="624"/>
        <w:textAlignment w:val="auto"/>
        <w:rPr>
          <w:rFonts w:ascii="仿宋" w:hAnsi="仿宋" w:eastAsia="仿宋" w:cs="仿宋"/>
          <w:color w:val="000000"/>
          <w:spacing w:val="6"/>
          <w:sz w:val="28"/>
          <w:szCs w:val="28"/>
        </w:rPr>
      </w:pPr>
      <w:r>
        <w:rPr>
          <w:rFonts w:hint="eastAsia" w:ascii="仿宋" w:hAnsi="仿宋" w:eastAsia="仿宋" w:cs="仿宋"/>
          <w:color w:val="000000"/>
          <w:spacing w:val="6"/>
          <w:sz w:val="28"/>
          <w:szCs w:val="28"/>
        </w:rPr>
        <w:t>项目编号：</w:t>
      </w:r>
      <w:r>
        <w:rPr>
          <w:rFonts w:hint="eastAsia" w:ascii="仿宋" w:hAnsi="仿宋" w:eastAsia="仿宋" w:cs="仿宋"/>
          <w:color w:val="000000"/>
          <w:spacing w:val="6"/>
          <w:sz w:val="28"/>
          <w:szCs w:val="28"/>
          <w:lang w:eastAsia="zh-CN"/>
        </w:rPr>
        <w:t>JSZC-320381-XZPS-G2025-0005</w:t>
      </w:r>
      <w:r>
        <w:rPr>
          <w:rFonts w:hint="eastAsia" w:ascii="仿宋" w:hAnsi="仿宋" w:eastAsia="仿宋" w:cs="仿宋"/>
          <w:color w:val="000000"/>
          <w:spacing w:val="6"/>
          <w:sz w:val="28"/>
          <w:szCs w:val="28"/>
        </w:rPr>
        <w:t> </w:t>
      </w:r>
    </w:p>
    <w:p>
      <w:pPr>
        <w:pStyle w:val="43"/>
        <w:pageBreakBefore w:val="0"/>
        <w:widowControl/>
        <w:wordWrap/>
        <w:topLinePunct w:val="0"/>
        <w:autoSpaceDE/>
        <w:autoSpaceDN/>
        <w:bidi w:val="0"/>
        <w:adjustRightInd/>
        <w:snapToGrid/>
        <w:spacing w:line="440" w:lineRule="exact"/>
        <w:ind w:firstLine="480"/>
        <w:jc w:val="left"/>
        <w:textAlignment w:val="auto"/>
        <w:rPr>
          <w:rFonts w:ascii="仿宋" w:hAnsi="仿宋" w:eastAsia="仿宋" w:cs="仿宋"/>
          <w:color w:val="000000"/>
          <w:sz w:val="28"/>
          <w:szCs w:val="28"/>
        </w:rPr>
      </w:pPr>
    </w:p>
    <w:p>
      <w:pPr>
        <w:pStyle w:val="43"/>
        <w:pageBreakBefore w:val="0"/>
        <w:wordWrap/>
        <w:topLinePunct w:val="0"/>
        <w:autoSpaceDE/>
        <w:autoSpaceDN/>
        <w:bidi w:val="0"/>
        <w:adjustRightInd/>
        <w:snapToGrid/>
        <w:spacing w:line="440" w:lineRule="exact"/>
        <w:ind w:firstLine="584"/>
        <w:textAlignment w:val="auto"/>
        <w:rPr>
          <w:rFonts w:ascii="仿宋" w:hAnsi="仿宋" w:eastAsia="仿宋" w:cs="仿宋"/>
          <w:color w:val="000000"/>
          <w:sz w:val="28"/>
          <w:szCs w:val="28"/>
        </w:rPr>
      </w:pPr>
      <w:r>
        <w:rPr>
          <w:rFonts w:hint="eastAsia" w:ascii="仿宋" w:hAnsi="仿宋" w:eastAsia="仿宋" w:cs="仿宋"/>
          <w:color w:val="000000"/>
          <w:sz w:val="28"/>
          <w:szCs w:val="28"/>
        </w:rPr>
        <w:t>我单位不是为本采购项目提供整体设计、规范编制或者项目管理、监理、检测等服务的供应商。</w:t>
      </w:r>
    </w:p>
    <w:p>
      <w:pPr>
        <w:pStyle w:val="43"/>
        <w:pageBreakBefore w:val="0"/>
        <w:wordWrap/>
        <w:topLinePunct w:val="0"/>
        <w:autoSpaceDE/>
        <w:autoSpaceDN/>
        <w:bidi w:val="0"/>
        <w:adjustRightInd/>
        <w:snapToGrid/>
        <w:spacing w:line="440" w:lineRule="exact"/>
        <w:ind w:firstLine="584"/>
        <w:textAlignment w:val="auto"/>
        <w:rPr>
          <w:rFonts w:ascii="仿宋" w:hAnsi="仿宋" w:eastAsia="仿宋" w:cs="仿宋"/>
          <w:color w:val="000000"/>
          <w:sz w:val="28"/>
          <w:szCs w:val="28"/>
        </w:rPr>
      </w:pPr>
      <w:r>
        <w:rPr>
          <w:rFonts w:hint="eastAsia" w:ascii="仿宋" w:hAnsi="仿宋" w:eastAsia="仿宋" w:cs="仿宋"/>
          <w:color w:val="000000"/>
          <w:sz w:val="28"/>
          <w:szCs w:val="28"/>
        </w:rPr>
        <w:t>特此声明。</w:t>
      </w:r>
    </w:p>
    <w:p>
      <w:pPr>
        <w:pStyle w:val="43"/>
        <w:pageBreakBefore w:val="0"/>
        <w:wordWrap/>
        <w:topLinePunct w:val="0"/>
        <w:autoSpaceDE/>
        <w:autoSpaceDN/>
        <w:bidi w:val="0"/>
        <w:adjustRightInd/>
        <w:snapToGrid/>
        <w:spacing w:line="440" w:lineRule="exact"/>
        <w:ind w:firstLine="584"/>
        <w:textAlignment w:val="auto"/>
        <w:rPr>
          <w:rFonts w:ascii="仿宋" w:hAnsi="仿宋" w:eastAsia="仿宋" w:cs="仿宋"/>
          <w:color w:val="000000"/>
          <w:sz w:val="28"/>
          <w:szCs w:val="28"/>
        </w:rPr>
      </w:pPr>
      <w:r>
        <w:rPr>
          <w:rFonts w:hint="eastAsia" w:ascii="仿宋" w:hAnsi="仿宋" w:eastAsia="仿宋" w:cs="仿宋"/>
          <w:color w:val="000000"/>
          <w:sz w:val="28"/>
          <w:szCs w:val="28"/>
        </w:rPr>
        <w:t>我单位对上述声明的真实性负责。如有虚假，将依法承担相应责任。</w:t>
      </w:r>
    </w:p>
    <w:p>
      <w:pPr>
        <w:pStyle w:val="221"/>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Style w:val="221"/>
        <w:pageBreakBefore w:val="0"/>
        <w:wordWrap/>
        <w:topLinePunct w:val="0"/>
        <w:autoSpaceDE/>
        <w:autoSpaceDN/>
        <w:bidi w:val="0"/>
        <w:adjustRightInd/>
        <w:snapToGrid/>
        <w:spacing w:line="440" w:lineRule="exact"/>
        <w:textAlignment w:val="auto"/>
        <w:rPr>
          <w:rFonts w:ascii="仿宋" w:hAnsi="仿宋" w:eastAsia="仿宋" w:cs="仿宋"/>
          <w:color w:val="000000"/>
          <w:sz w:val="28"/>
          <w:szCs w:val="28"/>
        </w:rPr>
      </w:pPr>
    </w:p>
    <w:p>
      <w:pPr>
        <w:pStyle w:val="46"/>
        <w:pageBreakBefore w:val="0"/>
        <w:wordWrap/>
        <w:topLinePunct w:val="0"/>
        <w:autoSpaceDE/>
        <w:autoSpaceDN/>
        <w:bidi w:val="0"/>
        <w:adjustRightInd/>
        <w:snapToGrid/>
        <w:spacing w:line="440" w:lineRule="exact"/>
        <w:ind w:firstLine="2880"/>
        <w:textAlignment w:val="auto"/>
        <w:rPr>
          <w:rFonts w:ascii="仿宋" w:hAnsi="仿宋" w:eastAsia="仿宋" w:cs="仿宋"/>
          <w:color w:val="000000"/>
          <w:sz w:val="28"/>
          <w:szCs w:val="28"/>
        </w:rPr>
      </w:pPr>
      <w:r>
        <w:rPr>
          <w:rFonts w:hint="eastAsia" w:ascii="仿宋" w:hAnsi="仿宋" w:eastAsia="仿宋" w:cs="仿宋"/>
          <w:color w:val="000000"/>
          <w:sz w:val="28"/>
          <w:szCs w:val="28"/>
        </w:rPr>
        <w:t>投标人（电子签章）：</w:t>
      </w:r>
    </w:p>
    <w:p>
      <w:pPr>
        <w:pStyle w:val="46"/>
        <w:pageBreakBefore w:val="0"/>
        <w:wordWrap/>
        <w:topLinePunct w:val="0"/>
        <w:autoSpaceDE/>
        <w:autoSpaceDN/>
        <w:bidi w:val="0"/>
        <w:adjustRightInd/>
        <w:snapToGrid/>
        <w:spacing w:line="440" w:lineRule="exact"/>
        <w:ind w:firstLine="2880"/>
        <w:textAlignment w:val="auto"/>
        <w:rPr>
          <w:rFonts w:ascii="仿宋" w:hAnsi="仿宋" w:eastAsia="仿宋" w:cs="仿宋"/>
          <w:color w:val="000000"/>
          <w:sz w:val="28"/>
          <w:szCs w:val="28"/>
        </w:rPr>
      </w:pPr>
      <w:r>
        <w:rPr>
          <w:rFonts w:hint="eastAsia" w:ascii="仿宋" w:hAnsi="仿宋" w:eastAsia="仿宋" w:cs="仿宋"/>
          <w:color w:val="000000"/>
          <w:sz w:val="28"/>
          <w:szCs w:val="28"/>
        </w:rPr>
        <w:t>日期：   年  月  日</w:t>
      </w: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p>
    <w:p>
      <w:pPr>
        <w:pStyle w:val="43"/>
        <w:pageBreakBefore w:val="0"/>
        <w:wordWrap/>
        <w:topLinePunct w:val="0"/>
        <w:autoSpaceDE/>
        <w:autoSpaceDN/>
        <w:bidi w:val="0"/>
        <w:adjustRightInd/>
        <w:snapToGrid/>
        <w:spacing w:line="440" w:lineRule="exact"/>
        <w:jc w:val="left"/>
        <w:textAlignment w:val="auto"/>
        <w:rPr>
          <w:rFonts w:ascii="仿宋" w:hAnsi="仿宋" w:eastAsia="仿宋" w:cs="仿宋"/>
          <w:sz w:val="28"/>
          <w:szCs w:val="28"/>
        </w:rPr>
      </w:pPr>
    </w:p>
    <w:p>
      <w:pPr>
        <w:rPr>
          <w:rFonts w:hint="eastAsia" w:ascii="仿宋" w:hAnsi="仿宋" w:eastAsia="仿宋" w:cs="仿宋"/>
          <w:sz w:val="28"/>
          <w:szCs w:val="28"/>
        </w:rPr>
      </w:pPr>
      <w:r>
        <w:rPr>
          <w:rFonts w:hint="eastAsia" w:ascii="仿宋" w:hAnsi="仿宋" w:eastAsia="仿宋" w:cs="仿宋"/>
          <w:sz w:val="28"/>
          <w:szCs w:val="28"/>
        </w:rPr>
        <w:br w:type="page"/>
      </w:r>
    </w:p>
    <w:p>
      <w:pPr>
        <w:pStyle w:val="43"/>
        <w:pageBreakBefore w:val="0"/>
        <w:wordWrap/>
        <w:topLinePunct w:val="0"/>
        <w:autoSpaceDE/>
        <w:autoSpaceDN/>
        <w:bidi w:val="0"/>
        <w:adjustRightInd/>
        <w:snapToGrid/>
        <w:spacing w:line="440" w:lineRule="exact"/>
        <w:ind w:firstLine="562"/>
        <w:jc w:val="left"/>
        <w:textAlignment w:val="auto"/>
        <w:rPr>
          <w:rFonts w:ascii="仿宋" w:hAnsi="仿宋" w:eastAsia="仿宋" w:cs="仿宋"/>
          <w:sz w:val="28"/>
          <w:szCs w:val="28"/>
        </w:rPr>
      </w:pPr>
      <w:r>
        <w:rPr>
          <w:rFonts w:hint="eastAsia" w:ascii="仿宋" w:hAnsi="仿宋" w:eastAsia="仿宋" w:cs="仿宋"/>
          <w:sz w:val="28"/>
          <w:szCs w:val="28"/>
        </w:rPr>
        <w:t>十二、质保期</w:t>
      </w: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4"/>
        </w:rPr>
      </w:pP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4"/>
        </w:rPr>
      </w:pPr>
    </w:p>
    <w:p>
      <w:pPr>
        <w:pageBreakBefore w:val="0"/>
        <w:wordWrap/>
        <w:topLinePunct w:val="0"/>
        <w:autoSpaceDE/>
        <w:autoSpaceDN/>
        <w:bidi w:val="0"/>
        <w:adjustRightInd/>
        <w:snapToGrid/>
        <w:spacing w:line="440" w:lineRule="exact"/>
        <w:ind w:firstLine="470"/>
        <w:textAlignment w:val="auto"/>
      </w:pPr>
      <w:r>
        <w:rPr>
          <w:rFonts w:hint="eastAsia" w:ascii="仿宋" w:hAnsi="仿宋" w:eastAsia="仿宋" w:cs="仿宋"/>
          <w:bCs/>
          <w:color w:val="000000"/>
          <w:sz w:val="28"/>
          <w:szCs w:val="28"/>
        </w:rPr>
        <w:t>项目名称：</w:t>
      </w:r>
      <w:r>
        <w:rPr>
          <w:rFonts w:hint="eastAsia" w:ascii="仿宋" w:hAnsi="仿宋" w:eastAsia="仿宋" w:cs="仿宋"/>
          <w:color w:val="000000"/>
          <w:spacing w:val="6"/>
          <w:sz w:val="28"/>
          <w:szCs w:val="28"/>
        </w:rPr>
        <w:t>新沂市城市“绿岛”项目环卫特种作业车辆采购项目</w:t>
      </w: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项目编号：</w:t>
      </w:r>
      <w:r>
        <w:rPr>
          <w:rFonts w:hint="eastAsia" w:ascii="仿宋" w:hAnsi="仿宋" w:eastAsia="仿宋" w:cs="仿宋"/>
          <w:color w:val="000000"/>
          <w:spacing w:val="6"/>
          <w:sz w:val="28"/>
          <w:szCs w:val="28"/>
          <w:lang w:eastAsia="zh-CN"/>
        </w:rPr>
        <w:t>JSZC-320381-XZPS-G2025-0005</w:t>
      </w:r>
      <w:r>
        <w:rPr>
          <w:rFonts w:hint="eastAsia" w:ascii="仿宋" w:hAnsi="仿宋" w:eastAsia="仿宋" w:cs="仿宋"/>
          <w:color w:val="000000"/>
          <w:spacing w:val="6"/>
          <w:sz w:val="28"/>
          <w:szCs w:val="28"/>
        </w:rPr>
        <w:t> </w:t>
      </w: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8"/>
          <w:szCs w:val="28"/>
        </w:rPr>
      </w:pP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我公司参加</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bCs/>
          <w:color w:val="000000"/>
          <w:sz w:val="28"/>
          <w:szCs w:val="28"/>
        </w:rPr>
        <w:t>项目名称</w:t>
      </w:r>
      <w:r>
        <w:rPr>
          <w:rFonts w:hint="eastAsia" w:ascii="仿宋" w:hAnsi="仿宋" w:eastAsia="仿宋" w:cs="仿宋"/>
          <w:color w:val="000000"/>
          <w:sz w:val="28"/>
          <w:szCs w:val="28"/>
        </w:rPr>
        <w:t>）</w:t>
      </w:r>
      <w:r>
        <w:rPr>
          <w:rFonts w:hint="eastAsia" w:ascii="仿宋" w:hAnsi="仿宋" w:eastAsia="仿宋" w:cs="仿宋"/>
          <w:bCs/>
          <w:color w:val="000000"/>
          <w:sz w:val="28"/>
          <w:szCs w:val="28"/>
        </w:rPr>
        <w:t>（项目编号：</w:t>
      </w:r>
      <w:r>
        <w:rPr>
          <w:rFonts w:hint="eastAsia" w:ascii="仿宋" w:hAnsi="仿宋" w:eastAsia="仿宋" w:cs="仿宋"/>
          <w:color w:val="000000"/>
          <w:sz w:val="28"/>
          <w:szCs w:val="28"/>
          <w:u w:val="single"/>
        </w:rPr>
        <w:t xml:space="preserve">      </w:t>
      </w:r>
      <w:r>
        <w:rPr>
          <w:rFonts w:hint="eastAsia" w:ascii="仿宋" w:hAnsi="仿宋" w:eastAsia="仿宋" w:cs="仿宋"/>
          <w:bCs/>
          <w:color w:val="000000"/>
          <w:sz w:val="28"/>
          <w:szCs w:val="28"/>
        </w:rPr>
        <w:t>）项目采购活动中承诺如下：</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1、所投产品（</w:t>
      </w:r>
      <w:r>
        <w:rPr>
          <w:rFonts w:hint="eastAsia" w:ascii="仿宋" w:hAnsi="仿宋" w:eastAsia="仿宋" w:cs="仿宋"/>
          <w:sz w:val="28"/>
          <w:szCs w:val="28"/>
        </w:rPr>
        <w:t>整车</w:t>
      </w:r>
      <w:r>
        <w:rPr>
          <w:rFonts w:hint="eastAsia" w:ascii="仿宋" w:hAnsi="仿宋" w:eastAsia="仿宋" w:cs="仿宋"/>
          <w:color w:val="000000"/>
          <w:sz w:val="28"/>
          <w:szCs w:val="28"/>
        </w:rPr>
        <w:t>）提供</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年的免费质保期，质保期内，非人为破坏，免费更换，并承担修理调换的全部费用。</w:t>
      </w: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8"/>
          <w:szCs w:val="28"/>
        </w:rPr>
      </w:pP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特此承诺。</w:t>
      </w: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8"/>
          <w:szCs w:val="28"/>
        </w:rPr>
      </w:pPr>
      <w:r>
        <w:rPr>
          <w:rFonts w:hint="eastAsia" w:ascii="仿宋" w:hAnsi="仿宋" w:eastAsia="仿宋" w:cs="仿宋"/>
          <w:bCs/>
          <w:color w:val="000000"/>
          <w:sz w:val="28"/>
          <w:szCs w:val="28"/>
        </w:rPr>
        <w:t>投标人对上述承诺的真实性负责。如有虚假，将依法承担相应责任。</w:t>
      </w: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8"/>
          <w:szCs w:val="28"/>
        </w:rPr>
      </w:pPr>
    </w:p>
    <w:p>
      <w:pPr>
        <w:pageBreakBefore w:val="0"/>
        <w:wordWrap/>
        <w:topLinePunct w:val="0"/>
        <w:autoSpaceDE/>
        <w:autoSpaceDN/>
        <w:bidi w:val="0"/>
        <w:adjustRightInd/>
        <w:snapToGrid/>
        <w:spacing w:line="440" w:lineRule="exact"/>
        <w:ind w:firstLine="470"/>
        <w:textAlignment w:val="auto"/>
        <w:rPr>
          <w:rFonts w:ascii="仿宋" w:hAnsi="仿宋" w:eastAsia="仿宋" w:cs="仿宋"/>
          <w:bCs/>
          <w:color w:val="000000"/>
          <w:sz w:val="28"/>
          <w:szCs w:val="28"/>
        </w:rPr>
      </w:pP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（电子签章）</w:t>
      </w:r>
    </w:p>
    <w:p>
      <w:pPr>
        <w:pageBreakBefore w:val="0"/>
        <w:wordWrap/>
        <w:topLinePunct w:val="0"/>
        <w:autoSpaceDE/>
        <w:autoSpaceDN/>
        <w:bidi w:val="0"/>
        <w:adjustRightInd/>
        <w:snapToGrid/>
        <w:spacing w:line="440" w:lineRule="exact"/>
        <w:ind w:firstLine="480"/>
        <w:textAlignment w:val="auto"/>
        <w:rPr>
          <w:rFonts w:ascii="仿宋" w:hAnsi="仿宋" w:eastAsia="仿宋" w:cs="仿宋"/>
          <w:color w:val="000000"/>
          <w:sz w:val="28"/>
          <w:szCs w:val="28"/>
        </w:rPr>
      </w:pPr>
      <w:r>
        <w:rPr>
          <w:rFonts w:hint="eastAsia" w:ascii="仿宋" w:hAnsi="仿宋" w:eastAsia="仿宋" w:cs="仿宋"/>
          <w:color w:val="000000"/>
          <w:sz w:val="28"/>
          <w:szCs w:val="28"/>
        </w:rPr>
        <w:t>日期：   年  月  日</w:t>
      </w:r>
    </w:p>
    <w:p>
      <w:pPr>
        <w:pStyle w:val="43"/>
        <w:spacing w:line="460" w:lineRule="exact"/>
        <w:ind w:firstLine="562"/>
        <w:jc w:val="left"/>
        <w:rPr>
          <w:rFonts w:ascii="仿宋" w:hAnsi="仿宋" w:eastAsia="仿宋" w:cs="仿宋"/>
          <w:sz w:val="28"/>
          <w:szCs w:val="28"/>
        </w:rPr>
      </w:pPr>
    </w:p>
    <w:p>
      <w:pPr>
        <w:pStyle w:val="46"/>
        <w:spacing w:line="460" w:lineRule="exact"/>
        <w:rPr>
          <w:rFonts w:ascii="仿宋" w:hAnsi="仿宋" w:eastAsia="仿宋" w:cs="仿宋"/>
          <w:sz w:val="28"/>
          <w:szCs w:val="28"/>
        </w:rPr>
      </w:pPr>
    </w:p>
    <w:p>
      <w:pPr>
        <w:pStyle w:val="45"/>
        <w:spacing w:line="460" w:lineRule="exact"/>
        <w:rPr>
          <w:rFonts w:ascii="仿宋" w:hAnsi="仿宋" w:eastAsia="仿宋" w:cs="仿宋"/>
        </w:rPr>
      </w:pPr>
    </w:p>
    <w:p>
      <w:pPr>
        <w:pStyle w:val="41"/>
        <w:spacing w:line="460" w:lineRule="exact"/>
        <w:rPr>
          <w:rFonts w:ascii="仿宋" w:hAnsi="仿宋" w:eastAsia="仿宋" w:cs="仿宋"/>
        </w:rPr>
      </w:pPr>
    </w:p>
    <w:p>
      <w:pPr>
        <w:pStyle w:val="45"/>
        <w:spacing w:line="460" w:lineRule="exact"/>
        <w:rPr>
          <w:rFonts w:ascii="仿宋" w:hAnsi="仿宋" w:eastAsia="仿宋" w:cs="仿宋"/>
        </w:rPr>
      </w:pPr>
    </w:p>
    <w:p>
      <w:pPr>
        <w:pStyle w:val="41"/>
        <w:spacing w:line="460" w:lineRule="exact"/>
        <w:rPr>
          <w:rFonts w:ascii="仿宋" w:hAnsi="仿宋" w:eastAsia="仿宋" w:cs="仿宋"/>
        </w:rPr>
      </w:pPr>
    </w:p>
    <w:p>
      <w:pPr>
        <w:pStyle w:val="46"/>
        <w:spacing w:line="460" w:lineRule="exact"/>
        <w:rPr>
          <w:rFonts w:ascii="仿宋" w:hAnsi="仿宋" w:eastAsia="仿宋" w:cs="仿宋"/>
        </w:rPr>
      </w:pPr>
    </w:p>
    <w:p>
      <w:pPr>
        <w:pStyle w:val="43"/>
        <w:spacing w:line="460" w:lineRule="exact"/>
        <w:ind w:firstLine="562"/>
        <w:jc w:val="left"/>
        <w:rPr>
          <w:rFonts w:ascii="仿宋" w:hAnsi="仿宋" w:eastAsia="仿宋" w:cs="仿宋"/>
          <w:sz w:val="28"/>
          <w:szCs w:val="28"/>
        </w:rPr>
      </w:pPr>
    </w:p>
    <w:sectPr>
      <w:headerReference r:id="rId3" w:type="default"/>
      <w:footerReference r:id="rId4" w:type="default"/>
      <w:footerReference r:id="rId5" w:type="even"/>
      <w:pgSz w:w="11906" w:h="16838"/>
      <w:pgMar w:top="1440" w:right="1134" w:bottom="1440" w:left="1134"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3"/>
      <w:framePr w:wrap="around" w:vAnchor="text" w:hAnchor="margin" w:xAlign="center" w:y="1"/>
      <w:rPr>
        <w:rStyle w:val="212"/>
      </w:rPr>
    </w:pPr>
    <w:r>
      <w:fldChar w:fldCharType="begin"/>
    </w:r>
    <w:r>
      <w:rPr>
        <w:rStyle w:val="212"/>
      </w:rPr>
      <w:instrText xml:space="preserve">PAGE  </w:instrText>
    </w:r>
    <w:r>
      <w:fldChar w:fldCharType="separate"/>
    </w:r>
    <w:r>
      <w:rPr>
        <w:rStyle w:val="212"/>
      </w:rPr>
      <w:t>25</w:t>
    </w:r>
    <w:r>
      <w:fldChar w:fldCharType="end"/>
    </w:r>
  </w:p>
  <w:p>
    <w:pPr>
      <w:pStyle w:val="2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3"/>
      <w:framePr w:wrap="around" w:vAnchor="text" w:hAnchor="margin" w:xAlign="center" w:y="1"/>
      <w:rPr>
        <w:rStyle w:val="212"/>
      </w:rPr>
    </w:pPr>
    <w:r>
      <w:fldChar w:fldCharType="begin"/>
    </w:r>
    <w:r>
      <w:rPr>
        <w:rStyle w:val="212"/>
      </w:rPr>
      <w:instrText xml:space="preserve">PAGE  </w:instrText>
    </w:r>
    <w:r>
      <w:fldChar w:fldCharType="end"/>
    </w:r>
  </w:p>
  <w:p>
    <w:pPr>
      <w:pStyle w:val="2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ABB931"/>
    <w:multiLevelType w:val="singleLevel"/>
    <w:tmpl w:val="A3ABB931"/>
    <w:lvl w:ilvl="0" w:tentative="0">
      <w:start w:val="4"/>
      <w:numFmt w:val="chineseCounting"/>
      <w:suff w:val="nothing"/>
      <w:lvlText w:val="%1、"/>
      <w:lvlJc w:val="left"/>
      <w:pPr>
        <w:ind w:left="741" w:firstLine="0"/>
      </w:pPr>
      <w:rPr>
        <w:rFonts w:hint="eastAsia"/>
      </w:rPr>
    </w:lvl>
  </w:abstractNum>
  <w:abstractNum w:abstractNumId="1">
    <w:nsid w:val="0053208E"/>
    <w:multiLevelType w:val="multilevel"/>
    <w:tmpl w:val="0053208E"/>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abstractNum w:abstractNumId="2">
    <w:nsid w:val="40802790"/>
    <w:multiLevelType w:val="multilevel"/>
    <w:tmpl w:val="40802790"/>
    <w:lvl w:ilvl="0" w:tentative="0">
      <w:start w:val="2"/>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C51714"/>
    <w:multiLevelType w:val="singleLevel"/>
    <w:tmpl w:val="47C51714"/>
    <w:lvl w:ilvl="0" w:tentative="0">
      <w:start w:val="1"/>
      <w:numFmt w:val="decimal"/>
      <w:suff w:val="nothing"/>
      <w:lvlText w:val="（%1）"/>
      <w:lvlJc w:val="left"/>
    </w:lvl>
  </w:abstractNum>
  <w:abstractNum w:abstractNumId="4">
    <w:nsid w:val="59ADCABA"/>
    <w:multiLevelType w:val="multilevel"/>
    <w:tmpl w:val="59ADCABA"/>
    <w:lvl w:ilvl="0" w:tentative="0">
      <w:start w:val="1"/>
      <w:numFmt w:val="decimal"/>
      <w:lvlText w:val="%1."/>
      <w:lvlJc w:val="left"/>
      <w:pPr>
        <w:tabs>
          <w:tab w:val="left" w:pos="312"/>
        </w:tabs>
      </w:p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Wingdings" w:hAnsi="Wingdings" w:eastAsia="Wingdings" w:cs="Wingdings"/>
      </w:rPr>
    </w:lvl>
    <w:lvl w:ilvl="3" w:tentative="0">
      <w:start w:val="1"/>
      <w:numFmt w:val="bullet"/>
      <w:lvlText w:val="·"/>
      <w:lvlJc w:val="left"/>
      <w:pPr>
        <w:ind w:left="2880" w:hanging="360"/>
      </w:pPr>
      <w:rPr>
        <w:rFonts w:ascii="Symbol" w:hAnsi="Symbol" w:eastAsia="Symbol" w:cs="Symbol"/>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Wingdings" w:hAnsi="Wingdings" w:eastAsia="Wingdings" w:cs="Wingdings"/>
      </w:rPr>
    </w:lvl>
    <w:lvl w:ilvl="6" w:tentative="0">
      <w:start w:val="1"/>
      <w:numFmt w:val="bullet"/>
      <w:lvlText w:val="·"/>
      <w:lvlJc w:val="left"/>
      <w:pPr>
        <w:ind w:left="5040" w:hanging="360"/>
      </w:pPr>
      <w:rPr>
        <w:rFonts w:ascii="Symbol" w:hAnsi="Symbol" w:eastAsia="Symbol" w:cs="Symbol"/>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Wingdings" w:hAnsi="Wingdings" w:eastAsia="Wingdings" w:cs="Wingdings"/>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NotTrackMoves/>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98F"/>
    <w:rsid w:val="001C2645"/>
    <w:rsid w:val="0034298F"/>
    <w:rsid w:val="00360D74"/>
    <w:rsid w:val="0043776B"/>
    <w:rsid w:val="00AD1E54"/>
    <w:rsid w:val="00DC743B"/>
    <w:rsid w:val="00F049FA"/>
    <w:rsid w:val="04B43D4C"/>
    <w:rsid w:val="05696E27"/>
    <w:rsid w:val="072E6E7B"/>
    <w:rsid w:val="079E5C2C"/>
    <w:rsid w:val="085E48C2"/>
    <w:rsid w:val="0D8F5FCC"/>
    <w:rsid w:val="11EE27A3"/>
    <w:rsid w:val="175D6358"/>
    <w:rsid w:val="1D81371D"/>
    <w:rsid w:val="1FAD0273"/>
    <w:rsid w:val="2FDE6C5E"/>
    <w:rsid w:val="369B7657"/>
    <w:rsid w:val="37B37F65"/>
    <w:rsid w:val="3B2E7799"/>
    <w:rsid w:val="3CDC33E5"/>
    <w:rsid w:val="3DD050AE"/>
    <w:rsid w:val="41F9158F"/>
    <w:rsid w:val="44E135FF"/>
    <w:rsid w:val="471E2241"/>
    <w:rsid w:val="4D6D3115"/>
    <w:rsid w:val="53A94C3D"/>
    <w:rsid w:val="590D57AB"/>
    <w:rsid w:val="5C347048"/>
    <w:rsid w:val="5DE2505B"/>
    <w:rsid w:val="6178576A"/>
    <w:rsid w:val="62674594"/>
    <w:rsid w:val="633112F6"/>
    <w:rsid w:val="665D621A"/>
    <w:rsid w:val="70593E02"/>
    <w:rsid w:val="71E60D57"/>
    <w:rsid w:val="786B58AA"/>
    <w:rsid w:val="78F3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6"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4"/>
      <w:lang w:val="en-US" w:eastAsia="zh-CN" w:bidi="ar-SA"/>
    </w:rPr>
  </w:style>
  <w:style w:type="paragraph" w:styleId="2">
    <w:name w:val="heading 1"/>
    <w:basedOn w:val="3"/>
    <w:next w:val="3"/>
    <w:link w:val="48"/>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9"/>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50"/>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5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52"/>
    <w:unhideWhenUsed/>
    <w:qFormat/>
    <w:uiPriority w:val="9"/>
    <w:pPr>
      <w:keepNext/>
      <w:keepLines/>
      <w:spacing w:before="320" w:after="200"/>
      <w:outlineLvl w:val="4"/>
    </w:pPr>
    <w:rPr>
      <w:rFonts w:ascii="Arial" w:hAnsi="Arial" w:eastAsia="Arial" w:cs="Arial"/>
      <w:b/>
      <w:bCs/>
      <w:sz w:val="24"/>
    </w:rPr>
  </w:style>
  <w:style w:type="paragraph" w:styleId="8">
    <w:name w:val="heading 6"/>
    <w:basedOn w:val="1"/>
    <w:next w:val="1"/>
    <w:link w:val="53"/>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54"/>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55"/>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56"/>
    <w:unhideWhenUsed/>
    <w:qFormat/>
    <w:uiPriority w:val="9"/>
    <w:pPr>
      <w:keepNext/>
      <w:keepLines/>
      <w:spacing w:before="320" w:after="200"/>
      <w:outlineLvl w:val="8"/>
    </w:pPr>
    <w:rPr>
      <w:rFonts w:ascii="Arial" w:hAnsi="Arial" w:eastAsia="Arial" w:cs="Arial"/>
      <w:i/>
      <w:iCs/>
      <w:szCs w:val="21"/>
    </w:rPr>
  </w:style>
  <w:style w:type="character" w:default="1" w:styleId="30">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3">
    <w:name w:val="Block Text"/>
    <w:basedOn w:val="1"/>
    <w:next w:val="1"/>
    <w:qFormat/>
    <w:uiPriority w:val="6"/>
    <w:pPr>
      <w:ind w:left="256" w:right="6" w:firstLine="624"/>
    </w:pPr>
    <w:rPr>
      <w:rFonts w:ascii="Times New Roman" w:hAnsi="Times New Roman" w:eastAsia="仿宋" w:cs="Times New Roman"/>
      <w:sz w:val="28"/>
      <w:szCs w:val="20"/>
    </w:r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sz w:val="18"/>
      <w:szCs w:val="18"/>
    </w:rPr>
  </w:style>
  <w:style w:type="paragraph" w:styleId="14">
    <w:name w:val="Body Text"/>
    <w:basedOn w:val="1"/>
    <w:next w:val="1"/>
    <w:qFormat/>
    <w:uiPriority w:val="0"/>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93"/>
    <w:semiHidden/>
    <w:unhideWhenUsed/>
    <w:qFormat/>
    <w:uiPriority w:val="99"/>
    <w:rPr>
      <w:sz w:val="20"/>
    </w:rPr>
  </w:style>
  <w:style w:type="paragraph" w:styleId="19">
    <w:name w:val="footer"/>
    <w:basedOn w:val="1"/>
    <w:link w:val="66"/>
    <w:unhideWhenUsed/>
    <w:qFormat/>
    <w:uiPriority w:val="99"/>
    <w:pPr>
      <w:tabs>
        <w:tab w:val="center" w:pos="7143"/>
        <w:tab w:val="right" w:pos="14287"/>
      </w:tabs>
    </w:pPr>
  </w:style>
  <w:style w:type="paragraph" w:styleId="20">
    <w:name w:val="header"/>
    <w:basedOn w:val="1"/>
    <w:link w:val="64"/>
    <w:unhideWhenUsed/>
    <w:qFormat/>
    <w:uiPriority w:val="99"/>
    <w:pPr>
      <w:tabs>
        <w:tab w:val="center" w:pos="7143"/>
        <w:tab w:val="right" w:pos="14287"/>
      </w:tabs>
    </w:pPr>
  </w:style>
  <w:style w:type="paragraph" w:styleId="21">
    <w:name w:val="toc 1"/>
    <w:basedOn w:val="1"/>
    <w:next w:val="1"/>
    <w:unhideWhenUsed/>
    <w:qFormat/>
    <w:uiPriority w:val="39"/>
    <w:pPr>
      <w:spacing w:after="57"/>
    </w:pPr>
  </w:style>
  <w:style w:type="paragraph" w:styleId="22">
    <w:name w:val="toc 4"/>
    <w:basedOn w:val="1"/>
    <w:next w:val="1"/>
    <w:unhideWhenUsed/>
    <w:qFormat/>
    <w:uiPriority w:val="39"/>
    <w:pPr>
      <w:spacing w:after="57"/>
      <w:ind w:left="850"/>
    </w:pPr>
  </w:style>
  <w:style w:type="paragraph" w:styleId="23">
    <w:name w:val="Subtitle"/>
    <w:basedOn w:val="1"/>
    <w:next w:val="1"/>
    <w:link w:val="59"/>
    <w:qFormat/>
    <w:uiPriority w:val="11"/>
    <w:pPr>
      <w:spacing w:before="200" w:after="200"/>
    </w:pPr>
    <w:rPr>
      <w:sz w:val="24"/>
    </w:rPr>
  </w:style>
  <w:style w:type="paragraph" w:styleId="24">
    <w:name w:val="footnote text"/>
    <w:basedOn w:val="1"/>
    <w:link w:val="192"/>
    <w:semiHidden/>
    <w:unhideWhenUsed/>
    <w:qFormat/>
    <w:uiPriority w:val="99"/>
    <w:pPr>
      <w:spacing w:after="40"/>
    </w:pPr>
    <w:rPr>
      <w:sz w:val="18"/>
    </w:rPr>
  </w:style>
  <w:style w:type="paragraph" w:styleId="25">
    <w:name w:val="toc 6"/>
    <w:basedOn w:val="1"/>
    <w:next w:val="1"/>
    <w:unhideWhenUsed/>
    <w:qFormat/>
    <w:uiPriority w:val="39"/>
    <w:pPr>
      <w:spacing w:after="57"/>
      <w:ind w:left="1417"/>
    </w:pPr>
  </w:style>
  <w:style w:type="paragraph" w:styleId="26">
    <w:name w:val="table of figures"/>
    <w:basedOn w:val="1"/>
    <w:next w:val="1"/>
    <w:unhideWhenUsed/>
    <w:qFormat/>
    <w:uiPriority w:val="99"/>
  </w:style>
  <w:style w:type="paragraph" w:styleId="27">
    <w:name w:val="toc 2"/>
    <w:basedOn w:val="1"/>
    <w:next w:val="1"/>
    <w:unhideWhenUsed/>
    <w:qFormat/>
    <w:uiPriority w:val="39"/>
    <w:pPr>
      <w:spacing w:after="57"/>
      <w:ind w:left="283"/>
    </w:pPr>
  </w:style>
  <w:style w:type="paragraph" w:styleId="28">
    <w:name w:val="toc 9"/>
    <w:basedOn w:val="1"/>
    <w:next w:val="1"/>
    <w:unhideWhenUsed/>
    <w:qFormat/>
    <w:uiPriority w:val="39"/>
    <w:pPr>
      <w:spacing w:after="57"/>
      <w:ind w:left="2268"/>
    </w:pPr>
  </w:style>
  <w:style w:type="paragraph" w:styleId="29">
    <w:name w:val="Title"/>
    <w:basedOn w:val="1"/>
    <w:next w:val="1"/>
    <w:link w:val="58"/>
    <w:qFormat/>
    <w:uiPriority w:val="10"/>
    <w:pPr>
      <w:spacing w:before="300" w:after="200"/>
      <w:contextualSpacing/>
    </w:pPr>
    <w:rPr>
      <w:sz w:val="48"/>
      <w:szCs w:val="48"/>
    </w:rPr>
  </w:style>
  <w:style w:type="character" w:styleId="31">
    <w:name w:val="endnote reference"/>
    <w:semiHidden/>
    <w:unhideWhenUsed/>
    <w:qFormat/>
    <w:uiPriority w:val="99"/>
    <w:rPr>
      <w:vertAlign w:val="superscript"/>
    </w:rPr>
  </w:style>
  <w:style w:type="character" w:styleId="32">
    <w:name w:val="Hyperlink"/>
    <w:unhideWhenUsed/>
    <w:qFormat/>
    <w:uiPriority w:val="99"/>
    <w:rPr>
      <w:color w:val="0000FF"/>
      <w:u w:val="single"/>
    </w:rPr>
  </w:style>
  <w:style w:type="character" w:styleId="33">
    <w:name w:val="footnote reference"/>
    <w:unhideWhenUsed/>
    <w:qFormat/>
    <w:uiPriority w:val="99"/>
    <w:rPr>
      <w:vertAlign w:val="superscript"/>
    </w:rPr>
  </w:style>
  <w:style w:type="table" w:styleId="3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36">
    <w:name w:val="文本块11"/>
    <w:basedOn w:val="37"/>
    <w:unhideWhenUsed/>
    <w:qFormat/>
    <w:uiPriority w:val="0"/>
    <w:pPr>
      <w:spacing w:after="120"/>
      <w:ind w:left="1440" w:right="1440"/>
    </w:pPr>
  </w:style>
  <w:style w:type="paragraph" w:customStyle="1" w:styleId="37">
    <w:name w:val="正文12"/>
    <w:next w:val="38"/>
    <w:qFormat/>
    <w:uiPriority w:val="0"/>
    <w:pPr>
      <w:widowControl w:val="0"/>
      <w:jc w:val="both"/>
    </w:pPr>
    <w:rPr>
      <w:rFonts w:ascii="Calibri" w:hAnsi="Calibri" w:eastAsia="Calibri" w:cs="Times New Roman"/>
      <w:sz w:val="21"/>
      <w:szCs w:val="24"/>
      <w:lang w:val="en-US" w:eastAsia="zh-CN" w:bidi="ar-SA"/>
    </w:rPr>
  </w:style>
  <w:style w:type="paragraph" w:customStyle="1" w:styleId="38">
    <w:name w:val="脚注文本1"/>
    <w:basedOn w:val="39"/>
    <w:next w:val="42"/>
    <w:qFormat/>
    <w:uiPriority w:val="0"/>
    <w:pPr>
      <w:jc w:val="left"/>
    </w:pPr>
    <w:rPr>
      <w:rFonts w:ascii="宋体" w:eastAsia="Times New Roman"/>
      <w:sz w:val="18"/>
      <w:szCs w:val="18"/>
    </w:rPr>
  </w:style>
  <w:style w:type="paragraph" w:customStyle="1" w:styleId="39">
    <w:name w:val="正文1111"/>
    <w:next w:val="4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40">
    <w:name w:val="标题 211"/>
    <w:basedOn w:val="41"/>
    <w:next w:val="39"/>
    <w:qFormat/>
    <w:uiPriority w:val="0"/>
    <w:pPr>
      <w:keepNext/>
      <w:keepLines/>
      <w:spacing w:before="260" w:after="260" w:line="416" w:lineRule="auto"/>
      <w:outlineLvl w:val="1"/>
    </w:pPr>
    <w:rPr>
      <w:rFonts w:ascii="Calibri Light" w:hAnsi="Calibri Light"/>
      <w:bCs/>
      <w:sz w:val="32"/>
      <w:szCs w:val="32"/>
    </w:rPr>
  </w:style>
  <w:style w:type="paragraph" w:customStyle="1" w:styleId="41">
    <w:name w:val="正文11"/>
    <w:next w:val="1"/>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2">
    <w:name w:val="索引 51"/>
    <w:basedOn w:val="43"/>
    <w:next w:val="43"/>
    <w:qFormat/>
    <w:uiPriority w:val="0"/>
    <w:pPr>
      <w:ind w:left="798"/>
      <w:jc w:val="left"/>
    </w:pPr>
    <w:rPr>
      <w:rFonts w:ascii="Calibri" w:hAnsi="Calibri"/>
    </w:rPr>
  </w:style>
  <w:style w:type="paragraph" w:customStyle="1" w:styleId="43">
    <w:name w:val="正文1"/>
    <w:basedOn w:val="44"/>
    <w:next w:val="46"/>
    <w:link w:val="212"/>
    <w:qFormat/>
    <w:uiPriority w:val="0"/>
  </w:style>
  <w:style w:type="paragraph" w:customStyle="1" w:styleId="44">
    <w:name w:val="正文111"/>
    <w:next w:val="4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5">
    <w:name w:val="标题 41"/>
    <w:basedOn w:val="37"/>
    <w:next w:val="44"/>
    <w:qFormat/>
    <w:uiPriority w:val="0"/>
    <w:pPr>
      <w:keepNext/>
      <w:keepLines/>
      <w:spacing w:before="280" w:after="290" w:line="376" w:lineRule="auto"/>
      <w:outlineLvl w:val="3"/>
    </w:pPr>
    <w:rPr>
      <w:rFonts w:ascii="Cambria" w:hAnsi="Cambria"/>
      <w:b/>
      <w:bCs/>
      <w:sz w:val="28"/>
      <w:szCs w:val="28"/>
    </w:rPr>
  </w:style>
  <w:style w:type="paragraph" w:customStyle="1" w:styleId="46">
    <w:name w:val="文本块1"/>
    <w:basedOn w:val="43"/>
    <w:next w:val="45"/>
    <w:qFormat/>
    <w:uiPriority w:val="0"/>
    <w:pPr>
      <w:ind w:left="420" w:right="33"/>
      <w:jc w:val="left"/>
    </w:pPr>
    <w:rPr>
      <w:sz w:val="24"/>
      <w:szCs w:val="20"/>
    </w:rPr>
  </w:style>
  <w:style w:type="paragraph" w:customStyle="1" w:styleId="47">
    <w:name w:val="正文文本111"/>
    <w:basedOn w:val="37"/>
    <w:next w:val="37"/>
    <w:qFormat/>
    <w:uiPriority w:val="0"/>
  </w:style>
  <w:style w:type="character" w:customStyle="1" w:styleId="48">
    <w:name w:val="标题 1 字符"/>
    <w:link w:val="2"/>
    <w:qFormat/>
    <w:uiPriority w:val="9"/>
    <w:rPr>
      <w:rFonts w:ascii="Arial" w:hAnsi="Arial" w:eastAsia="Arial" w:cs="Arial"/>
      <w:sz w:val="40"/>
      <w:szCs w:val="40"/>
    </w:rPr>
  </w:style>
  <w:style w:type="character" w:customStyle="1" w:styleId="49">
    <w:name w:val="标题 2 字符"/>
    <w:link w:val="4"/>
    <w:qFormat/>
    <w:uiPriority w:val="9"/>
    <w:rPr>
      <w:rFonts w:ascii="Arial" w:hAnsi="Arial" w:eastAsia="Arial" w:cs="Arial"/>
      <w:sz w:val="34"/>
    </w:rPr>
  </w:style>
  <w:style w:type="character" w:customStyle="1" w:styleId="50">
    <w:name w:val="标题 3 字符"/>
    <w:link w:val="5"/>
    <w:qFormat/>
    <w:uiPriority w:val="9"/>
    <w:rPr>
      <w:rFonts w:ascii="Arial" w:hAnsi="Arial" w:eastAsia="Arial" w:cs="Arial"/>
      <w:sz w:val="30"/>
      <w:szCs w:val="30"/>
    </w:rPr>
  </w:style>
  <w:style w:type="character" w:customStyle="1" w:styleId="51">
    <w:name w:val="标题 4 字符"/>
    <w:link w:val="6"/>
    <w:qFormat/>
    <w:uiPriority w:val="9"/>
    <w:rPr>
      <w:rFonts w:ascii="Arial" w:hAnsi="Arial" w:eastAsia="Arial" w:cs="Arial"/>
      <w:b/>
      <w:bCs/>
      <w:sz w:val="26"/>
      <w:szCs w:val="26"/>
    </w:rPr>
  </w:style>
  <w:style w:type="character" w:customStyle="1" w:styleId="52">
    <w:name w:val="标题 5 字符"/>
    <w:link w:val="7"/>
    <w:qFormat/>
    <w:uiPriority w:val="9"/>
    <w:rPr>
      <w:rFonts w:ascii="Arial" w:hAnsi="Arial" w:eastAsia="Arial" w:cs="Arial"/>
      <w:b/>
      <w:bCs/>
      <w:sz w:val="24"/>
      <w:szCs w:val="24"/>
    </w:rPr>
  </w:style>
  <w:style w:type="character" w:customStyle="1" w:styleId="53">
    <w:name w:val="标题 6 字符"/>
    <w:link w:val="8"/>
    <w:qFormat/>
    <w:uiPriority w:val="9"/>
    <w:rPr>
      <w:rFonts w:ascii="Arial" w:hAnsi="Arial" w:eastAsia="Arial" w:cs="Arial"/>
      <w:b/>
      <w:bCs/>
      <w:sz w:val="22"/>
      <w:szCs w:val="22"/>
    </w:rPr>
  </w:style>
  <w:style w:type="character" w:customStyle="1" w:styleId="54">
    <w:name w:val="标题 7 字符"/>
    <w:link w:val="9"/>
    <w:qFormat/>
    <w:uiPriority w:val="9"/>
    <w:rPr>
      <w:rFonts w:ascii="Arial" w:hAnsi="Arial" w:eastAsia="Arial" w:cs="Arial"/>
      <w:b/>
      <w:bCs/>
      <w:i/>
      <w:iCs/>
      <w:sz w:val="22"/>
      <w:szCs w:val="22"/>
    </w:rPr>
  </w:style>
  <w:style w:type="character" w:customStyle="1" w:styleId="55">
    <w:name w:val="标题 8 字符"/>
    <w:link w:val="10"/>
    <w:qFormat/>
    <w:uiPriority w:val="9"/>
    <w:rPr>
      <w:rFonts w:ascii="Arial" w:hAnsi="Arial" w:eastAsia="Arial" w:cs="Arial"/>
      <w:i/>
      <w:iCs/>
      <w:sz w:val="22"/>
      <w:szCs w:val="22"/>
    </w:rPr>
  </w:style>
  <w:style w:type="character" w:customStyle="1" w:styleId="56">
    <w:name w:val="标题 9 字符"/>
    <w:link w:val="11"/>
    <w:qFormat/>
    <w:uiPriority w:val="9"/>
    <w:rPr>
      <w:rFonts w:ascii="Arial" w:hAnsi="Arial" w:eastAsia="Arial" w:cs="Arial"/>
      <w:i/>
      <w:iCs/>
      <w:sz w:val="21"/>
      <w:szCs w:val="21"/>
    </w:rPr>
  </w:style>
  <w:style w:type="paragraph" w:styleId="57">
    <w:name w:val="No Spacing"/>
    <w:qFormat/>
    <w:uiPriority w:val="1"/>
    <w:rPr>
      <w:rFonts w:ascii="Times New Roman" w:hAnsi="Times New Roman" w:eastAsia="宋体" w:cs="Times New Roman"/>
      <w:lang w:val="en-US" w:eastAsia="zh-CN" w:bidi="ar-SA"/>
    </w:rPr>
  </w:style>
  <w:style w:type="character" w:customStyle="1" w:styleId="58">
    <w:name w:val="标题 字符"/>
    <w:link w:val="29"/>
    <w:qFormat/>
    <w:uiPriority w:val="10"/>
    <w:rPr>
      <w:sz w:val="48"/>
      <w:szCs w:val="48"/>
    </w:rPr>
  </w:style>
  <w:style w:type="character" w:customStyle="1" w:styleId="59">
    <w:name w:val="副标题 字符"/>
    <w:link w:val="23"/>
    <w:qFormat/>
    <w:uiPriority w:val="11"/>
    <w:rPr>
      <w:sz w:val="24"/>
      <w:szCs w:val="24"/>
    </w:rPr>
  </w:style>
  <w:style w:type="paragraph" w:styleId="60">
    <w:name w:val="Quote"/>
    <w:basedOn w:val="1"/>
    <w:next w:val="1"/>
    <w:link w:val="61"/>
    <w:qFormat/>
    <w:uiPriority w:val="29"/>
    <w:pPr>
      <w:ind w:left="720" w:right="720"/>
    </w:pPr>
    <w:rPr>
      <w:i/>
    </w:rPr>
  </w:style>
  <w:style w:type="character" w:customStyle="1" w:styleId="61">
    <w:name w:val="引用 字符"/>
    <w:link w:val="60"/>
    <w:qFormat/>
    <w:uiPriority w:val="29"/>
    <w:rPr>
      <w:i/>
    </w:rPr>
  </w:style>
  <w:style w:type="paragraph" w:styleId="62">
    <w:name w:val="Intense Quote"/>
    <w:basedOn w:val="1"/>
    <w:next w:val="1"/>
    <w:link w:val="6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3">
    <w:name w:val="明显引用 字符"/>
    <w:link w:val="62"/>
    <w:qFormat/>
    <w:uiPriority w:val="30"/>
    <w:rPr>
      <w:i/>
    </w:rPr>
  </w:style>
  <w:style w:type="character" w:customStyle="1" w:styleId="64">
    <w:name w:val="页眉 字符"/>
    <w:link w:val="20"/>
    <w:qFormat/>
    <w:uiPriority w:val="99"/>
  </w:style>
  <w:style w:type="character" w:customStyle="1" w:styleId="65">
    <w:name w:val="Footer Char"/>
    <w:qFormat/>
    <w:uiPriority w:val="99"/>
  </w:style>
  <w:style w:type="character" w:customStyle="1" w:styleId="66">
    <w:name w:val="页脚 字符"/>
    <w:link w:val="19"/>
    <w:qFormat/>
    <w:uiPriority w:val="99"/>
  </w:style>
  <w:style w:type="table" w:customStyle="1" w:styleId="67">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CellMar>
        <w:top w:w="0" w:type="dxa"/>
        <w:left w:w="108" w:type="dxa"/>
        <w:bottom w:w="0" w:type="dxa"/>
        <w:right w:w="108" w:type="dxa"/>
      </w:tblCellMar>
    </w:tblPr>
  </w:style>
  <w:style w:type="table" w:customStyle="1" w:styleId="68">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Layout w:type="fixed"/>
      <w:tblCellMar>
        <w:top w:w="0" w:type="dxa"/>
        <w:left w:w="108" w:type="dxa"/>
        <w:bottom w:w="0" w:type="dxa"/>
        <w:right w:w="108" w:type="dxa"/>
      </w:tblCellMar>
    </w:tblPr>
  </w:style>
  <w:style w:type="table" w:customStyle="1" w:styleId="69">
    <w:name w:val="无格式表格 21"/>
    <w:qFormat/>
    <w:uiPriority w:val="59"/>
    <w:tblPr>
      <w:tblBorders>
        <w:top w:val="single" w:color="000000" w:sz="4" w:space="0"/>
        <w:left w:val="none" w:color="000000" w:sz="4" w:space="0"/>
        <w:bottom w:val="single" w:color="000000" w:sz="4" w:space="0"/>
        <w:right w:val="none" w:color="000000" w:sz="4" w:space="0"/>
      </w:tblBorders>
      <w:tblLayout w:type="fixed"/>
      <w:tblCellMar>
        <w:top w:w="0" w:type="dxa"/>
        <w:left w:w="108" w:type="dxa"/>
        <w:bottom w:w="0" w:type="dxa"/>
        <w:right w:w="108" w:type="dxa"/>
      </w:tblCellMar>
    </w:tblPr>
  </w:style>
  <w:style w:type="table" w:customStyle="1" w:styleId="70">
    <w:name w:val="无格式表格 31"/>
    <w:qFormat/>
    <w:uiPriority w:val="99"/>
    <w:tblPr>
      <w:tblLayout w:type="fixed"/>
      <w:tblCellMar>
        <w:top w:w="0" w:type="dxa"/>
        <w:left w:w="0" w:type="dxa"/>
        <w:bottom w:w="0" w:type="dxa"/>
        <w:right w:w="0" w:type="dxa"/>
      </w:tblCellMar>
    </w:tblPr>
  </w:style>
  <w:style w:type="table" w:customStyle="1" w:styleId="71">
    <w:name w:val="无格式表格 41"/>
    <w:qFormat/>
    <w:uiPriority w:val="99"/>
    <w:tblPr>
      <w:tblLayout w:type="fixed"/>
      <w:tblCellMar>
        <w:top w:w="0" w:type="dxa"/>
        <w:left w:w="0" w:type="dxa"/>
        <w:bottom w:w="0" w:type="dxa"/>
        <w:right w:w="0" w:type="dxa"/>
      </w:tblCellMar>
    </w:tblPr>
  </w:style>
  <w:style w:type="table" w:customStyle="1" w:styleId="72">
    <w:name w:val="无格式表格 51"/>
    <w:qFormat/>
    <w:uiPriority w:val="99"/>
    <w:tblPr>
      <w:tblLayout w:type="fixed"/>
      <w:tblCellMar>
        <w:top w:w="0" w:type="dxa"/>
        <w:left w:w="0" w:type="dxa"/>
        <w:bottom w:w="0" w:type="dxa"/>
        <w:right w:w="0" w:type="dxa"/>
      </w:tblCellMar>
    </w:tblPr>
  </w:style>
  <w:style w:type="table" w:customStyle="1" w:styleId="73">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Layout w:type="fixed"/>
      <w:tblCellMar>
        <w:top w:w="0" w:type="dxa"/>
        <w:left w:w="0" w:type="dxa"/>
        <w:bottom w:w="0" w:type="dxa"/>
        <w:right w:w="0" w:type="dxa"/>
      </w:tblCellMar>
    </w:tblPr>
  </w:style>
  <w:style w:type="table" w:customStyle="1" w:styleId="74">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Layout w:type="fixed"/>
      <w:tblCellMar>
        <w:top w:w="0" w:type="dxa"/>
        <w:left w:w="0" w:type="dxa"/>
        <w:bottom w:w="0" w:type="dxa"/>
        <w:right w:w="0" w:type="dxa"/>
      </w:tblCellMar>
    </w:tblPr>
  </w:style>
  <w:style w:type="table" w:customStyle="1" w:styleId="75">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Layout w:type="fixed"/>
      <w:tblCellMar>
        <w:top w:w="0" w:type="dxa"/>
        <w:left w:w="0" w:type="dxa"/>
        <w:bottom w:w="0" w:type="dxa"/>
        <w:right w:w="0" w:type="dxa"/>
      </w:tblCellMar>
    </w:tblPr>
  </w:style>
  <w:style w:type="table" w:customStyle="1" w:styleId="76">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style>
  <w:style w:type="table" w:customStyle="1" w:styleId="77">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style>
  <w:style w:type="table" w:customStyle="1" w:styleId="78">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top w:w="0" w:type="dxa"/>
        <w:left w:w="0" w:type="dxa"/>
        <w:bottom w:w="0" w:type="dxa"/>
        <w:right w:w="0" w:type="dxa"/>
      </w:tblCellMar>
    </w:tblPr>
  </w:style>
  <w:style w:type="table" w:customStyle="1" w:styleId="79">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style>
  <w:style w:type="table" w:customStyle="1" w:styleId="80">
    <w:name w:val="网格表 21"/>
    <w:qFormat/>
    <w:uiPriority w:val="99"/>
    <w:tblPr>
      <w:tblBorders>
        <w:bottom w:val="single" w:color="6A6A6A" w:sz="4" w:space="0"/>
        <w:insideH w:val="single" w:color="6A6A6A" w:sz="4" w:space="0"/>
        <w:insideV w:val="single" w:color="6A6A6A" w:sz="4" w:space="0"/>
      </w:tblBorders>
      <w:tblLayout w:type="fixed"/>
      <w:tblCellMar>
        <w:top w:w="0" w:type="dxa"/>
        <w:left w:w="0" w:type="dxa"/>
        <w:bottom w:w="0" w:type="dxa"/>
        <w:right w:w="0" w:type="dxa"/>
      </w:tblCellMar>
    </w:tblPr>
  </w:style>
  <w:style w:type="table" w:customStyle="1" w:styleId="81">
    <w:name w:val="Grid Table 2 - Accent 1"/>
    <w:qFormat/>
    <w:uiPriority w:val="99"/>
    <w:tblPr>
      <w:tblBorders>
        <w:bottom w:val="single" w:color="5D8AC2" w:sz="4" w:space="0"/>
        <w:insideH w:val="single" w:color="5D8AC2" w:sz="4" w:space="0"/>
        <w:insideV w:val="single" w:color="5D8AC2" w:sz="4" w:space="0"/>
      </w:tblBorders>
      <w:tblLayout w:type="fixed"/>
      <w:tblCellMar>
        <w:top w:w="0" w:type="dxa"/>
        <w:left w:w="0" w:type="dxa"/>
        <w:bottom w:w="0" w:type="dxa"/>
        <w:right w:w="0" w:type="dxa"/>
      </w:tblCellMar>
    </w:tblPr>
  </w:style>
  <w:style w:type="table" w:customStyle="1" w:styleId="82">
    <w:name w:val="Grid Table 2 - Accent 2"/>
    <w:qFormat/>
    <w:uiPriority w:val="99"/>
    <w:tblPr>
      <w:tblBorders>
        <w:bottom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83">
    <w:name w:val="Grid Table 2 - Accent 3"/>
    <w:qFormat/>
    <w:uiPriority w:val="99"/>
    <w:tblPr>
      <w:tblBorders>
        <w:bottom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84">
    <w:name w:val="Grid Table 2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85">
    <w:name w:val="Grid Table 2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86">
    <w:name w:val="Grid Table 2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87">
    <w:name w:val="网格表 31"/>
    <w:qFormat/>
    <w:uiPriority w:val="99"/>
    <w:tblPr>
      <w:tblBorders>
        <w:bottom w:val="single" w:color="6A6A6A" w:sz="4" w:space="0"/>
        <w:insideH w:val="single" w:color="6A6A6A" w:sz="4" w:space="0"/>
        <w:insideV w:val="single" w:color="6A6A6A" w:sz="4" w:space="0"/>
      </w:tblBorders>
      <w:tblLayout w:type="fixed"/>
      <w:tblCellMar>
        <w:top w:w="0" w:type="dxa"/>
        <w:left w:w="0" w:type="dxa"/>
        <w:bottom w:w="0" w:type="dxa"/>
        <w:right w:w="0" w:type="dxa"/>
      </w:tblCellMar>
    </w:tblPr>
  </w:style>
  <w:style w:type="table" w:customStyle="1" w:styleId="88">
    <w:name w:val="Grid Table 3 - Accent 1"/>
    <w:qFormat/>
    <w:uiPriority w:val="99"/>
    <w:tblPr>
      <w:tblBorders>
        <w:bottom w:val="single" w:color="5D8AC2" w:sz="4" w:space="0"/>
        <w:insideH w:val="single" w:color="5D8AC2" w:sz="4" w:space="0"/>
        <w:insideV w:val="single" w:color="5D8AC2" w:sz="4" w:space="0"/>
      </w:tblBorders>
      <w:tblLayout w:type="fixed"/>
      <w:tblCellMar>
        <w:top w:w="0" w:type="dxa"/>
        <w:left w:w="0" w:type="dxa"/>
        <w:bottom w:w="0" w:type="dxa"/>
        <w:right w:w="0" w:type="dxa"/>
      </w:tblCellMar>
    </w:tblPr>
  </w:style>
  <w:style w:type="table" w:customStyle="1" w:styleId="89">
    <w:name w:val="Grid Table 3 - Accent 2"/>
    <w:qFormat/>
    <w:uiPriority w:val="99"/>
    <w:tblPr>
      <w:tblBorders>
        <w:bottom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90">
    <w:name w:val="Grid Table 3 - Accent 3"/>
    <w:qFormat/>
    <w:uiPriority w:val="99"/>
    <w:tblPr>
      <w:tblBorders>
        <w:bottom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91">
    <w:name w:val="Grid Table 3 - Accent 4"/>
    <w:qFormat/>
    <w:uiPriority w:val="99"/>
    <w:tblPr>
      <w:tblBorders>
        <w:bottom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92">
    <w:name w:val="Grid Table 3 - Accent 5"/>
    <w:qFormat/>
    <w:uiPriority w:val="99"/>
    <w:tblPr>
      <w:tblBorders>
        <w:bottom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93">
    <w:name w:val="Grid Table 3 - Accent 6"/>
    <w:qFormat/>
    <w:uiPriority w:val="99"/>
    <w:tblPr>
      <w:tblBorders>
        <w:bottom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94">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Layout w:type="fixed"/>
      <w:tblCellMar>
        <w:top w:w="0" w:type="dxa"/>
        <w:left w:w="0" w:type="dxa"/>
        <w:bottom w:w="0" w:type="dxa"/>
        <w:right w:w="0" w:type="dxa"/>
      </w:tblCellMar>
    </w:tblPr>
  </w:style>
  <w:style w:type="table" w:customStyle="1" w:styleId="95">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CellMar>
        <w:top w:w="0" w:type="dxa"/>
        <w:left w:w="0" w:type="dxa"/>
        <w:bottom w:w="0" w:type="dxa"/>
        <w:right w:w="0" w:type="dxa"/>
      </w:tblCellMar>
    </w:tblPr>
  </w:style>
  <w:style w:type="table" w:customStyle="1" w:styleId="96">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Layout w:type="fixed"/>
      <w:tblCellMar>
        <w:top w:w="0" w:type="dxa"/>
        <w:left w:w="0" w:type="dxa"/>
        <w:bottom w:w="0" w:type="dxa"/>
        <w:right w:w="0" w:type="dxa"/>
      </w:tblCellMar>
    </w:tblPr>
  </w:style>
  <w:style w:type="table" w:customStyle="1" w:styleId="97">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CellMar>
        <w:top w:w="0" w:type="dxa"/>
        <w:left w:w="0" w:type="dxa"/>
        <w:bottom w:w="0" w:type="dxa"/>
        <w:right w:w="0" w:type="dxa"/>
      </w:tblCellMar>
    </w:tblPr>
  </w:style>
  <w:style w:type="table" w:customStyle="1" w:styleId="98">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CellMar>
        <w:top w:w="0" w:type="dxa"/>
        <w:left w:w="0" w:type="dxa"/>
        <w:bottom w:w="0" w:type="dxa"/>
        <w:right w:w="0" w:type="dxa"/>
      </w:tblCellMar>
    </w:tblPr>
  </w:style>
  <w:style w:type="table" w:customStyle="1" w:styleId="99">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style>
  <w:style w:type="table" w:customStyle="1" w:styleId="100">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style>
  <w:style w:type="table" w:customStyle="1" w:styleId="101">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02">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03">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04">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05">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06">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07">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0" w:type="dxa"/>
        <w:bottom w:w="0" w:type="dxa"/>
        <w:right w:w="0" w:type="dxa"/>
      </w:tblCellMar>
    </w:tblPr>
  </w:style>
  <w:style w:type="table" w:customStyle="1" w:styleId="108">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top w:w="0" w:type="dxa"/>
        <w:left w:w="0" w:type="dxa"/>
        <w:bottom w:w="0" w:type="dxa"/>
        <w:right w:w="0" w:type="dxa"/>
      </w:tblCellMar>
    </w:tblPr>
  </w:style>
  <w:style w:type="table" w:customStyle="1" w:styleId="109">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style>
  <w:style w:type="table" w:customStyle="1" w:styleId="110">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11">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12">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13">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CellMar>
        <w:top w:w="0" w:type="dxa"/>
        <w:left w:w="0" w:type="dxa"/>
        <w:bottom w:w="0" w:type="dxa"/>
        <w:right w:w="0" w:type="dxa"/>
      </w:tblCellMar>
    </w:tblPr>
  </w:style>
  <w:style w:type="table" w:customStyle="1" w:styleId="114">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CellMar>
        <w:top w:w="0" w:type="dxa"/>
        <w:left w:w="0" w:type="dxa"/>
        <w:bottom w:w="0" w:type="dxa"/>
        <w:right w:w="0" w:type="dxa"/>
      </w:tblCellMar>
    </w:tblPr>
  </w:style>
  <w:style w:type="table" w:customStyle="1" w:styleId="115">
    <w:name w:val="网格表 7 彩色1"/>
    <w:qFormat/>
    <w:uiPriority w:val="99"/>
    <w:tblPr>
      <w:tblBorders>
        <w:bottom w:val="single" w:color="7F7F7F" w:sz="4" w:space="0"/>
        <w:right w:val="single" w:color="7F7F7F" w:sz="4" w:space="0"/>
        <w:insideH w:val="single" w:color="7F7F7F" w:sz="4" w:space="0"/>
        <w:insideV w:val="single" w:color="7F7F7F" w:sz="4" w:space="0"/>
      </w:tblBorders>
      <w:tblLayout w:type="fixed"/>
      <w:tblCellMar>
        <w:top w:w="0" w:type="dxa"/>
        <w:left w:w="0" w:type="dxa"/>
        <w:bottom w:w="0" w:type="dxa"/>
        <w:right w:w="0" w:type="dxa"/>
      </w:tblCellMar>
    </w:tblPr>
  </w:style>
  <w:style w:type="table" w:customStyle="1" w:styleId="116">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Layout w:type="fixed"/>
      <w:tblCellMar>
        <w:top w:w="0" w:type="dxa"/>
        <w:left w:w="0" w:type="dxa"/>
        <w:bottom w:w="0" w:type="dxa"/>
        <w:right w:w="0" w:type="dxa"/>
      </w:tblCellMar>
    </w:tblPr>
  </w:style>
  <w:style w:type="table" w:customStyle="1" w:styleId="117">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Layout w:type="fixed"/>
      <w:tblCellMar>
        <w:top w:w="0" w:type="dxa"/>
        <w:left w:w="0" w:type="dxa"/>
        <w:bottom w:w="0" w:type="dxa"/>
        <w:right w:w="0" w:type="dxa"/>
      </w:tblCellMar>
    </w:tblPr>
  </w:style>
  <w:style w:type="table" w:customStyle="1" w:styleId="118">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Layout w:type="fixed"/>
      <w:tblCellMar>
        <w:top w:w="0" w:type="dxa"/>
        <w:left w:w="0" w:type="dxa"/>
        <w:bottom w:w="0" w:type="dxa"/>
        <w:right w:w="0" w:type="dxa"/>
      </w:tblCellMar>
    </w:tblPr>
  </w:style>
  <w:style w:type="table" w:customStyle="1" w:styleId="119">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Layout w:type="fixed"/>
      <w:tblCellMar>
        <w:top w:w="0" w:type="dxa"/>
        <w:left w:w="0" w:type="dxa"/>
        <w:bottom w:w="0" w:type="dxa"/>
        <w:right w:w="0" w:type="dxa"/>
      </w:tblCellMar>
    </w:tblPr>
  </w:style>
  <w:style w:type="table" w:customStyle="1" w:styleId="120">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Layout w:type="fixed"/>
      <w:tblCellMar>
        <w:top w:w="0" w:type="dxa"/>
        <w:left w:w="0" w:type="dxa"/>
        <w:bottom w:w="0" w:type="dxa"/>
        <w:right w:w="0" w:type="dxa"/>
      </w:tblCellMar>
    </w:tblPr>
  </w:style>
  <w:style w:type="table" w:customStyle="1" w:styleId="121">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Layout w:type="fixed"/>
      <w:tblCellMar>
        <w:top w:w="0" w:type="dxa"/>
        <w:left w:w="0" w:type="dxa"/>
        <w:bottom w:w="0" w:type="dxa"/>
        <w:right w:w="0" w:type="dxa"/>
      </w:tblCellMar>
    </w:tblPr>
  </w:style>
  <w:style w:type="table" w:customStyle="1" w:styleId="122">
    <w:name w:val="清单表 1 浅色1"/>
    <w:qFormat/>
    <w:uiPriority w:val="99"/>
    <w:tblPr>
      <w:tblLayout w:type="fixed"/>
      <w:tblCellMar>
        <w:top w:w="0" w:type="dxa"/>
        <w:left w:w="0" w:type="dxa"/>
        <w:bottom w:w="0" w:type="dxa"/>
        <w:right w:w="0" w:type="dxa"/>
      </w:tblCellMar>
    </w:tblPr>
  </w:style>
  <w:style w:type="table" w:customStyle="1" w:styleId="123">
    <w:name w:val="List Table 1 Light - Accent 1"/>
    <w:qFormat/>
    <w:uiPriority w:val="99"/>
    <w:tblPr>
      <w:tblLayout w:type="fixed"/>
      <w:tblCellMar>
        <w:top w:w="0" w:type="dxa"/>
        <w:left w:w="0" w:type="dxa"/>
        <w:bottom w:w="0" w:type="dxa"/>
        <w:right w:w="0" w:type="dxa"/>
      </w:tblCellMar>
    </w:tblPr>
  </w:style>
  <w:style w:type="table" w:customStyle="1" w:styleId="124">
    <w:name w:val="List Table 1 Light - Accent 2"/>
    <w:qFormat/>
    <w:uiPriority w:val="99"/>
    <w:tblPr>
      <w:tblLayout w:type="fixed"/>
      <w:tblCellMar>
        <w:top w:w="0" w:type="dxa"/>
        <w:left w:w="0" w:type="dxa"/>
        <w:bottom w:w="0" w:type="dxa"/>
        <w:right w:w="0" w:type="dxa"/>
      </w:tblCellMar>
    </w:tblPr>
  </w:style>
  <w:style w:type="table" w:customStyle="1" w:styleId="125">
    <w:name w:val="List Table 1 Light - Accent 3"/>
    <w:qFormat/>
    <w:uiPriority w:val="99"/>
    <w:tblPr>
      <w:tblLayout w:type="fixed"/>
      <w:tblCellMar>
        <w:top w:w="0" w:type="dxa"/>
        <w:left w:w="0" w:type="dxa"/>
        <w:bottom w:w="0" w:type="dxa"/>
        <w:right w:w="0" w:type="dxa"/>
      </w:tblCellMar>
    </w:tblPr>
  </w:style>
  <w:style w:type="table" w:customStyle="1" w:styleId="126">
    <w:name w:val="List Table 1 Light - Accent 4"/>
    <w:qFormat/>
    <w:uiPriority w:val="99"/>
    <w:tblPr>
      <w:tblLayout w:type="fixed"/>
      <w:tblCellMar>
        <w:top w:w="0" w:type="dxa"/>
        <w:left w:w="0" w:type="dxa"/>
        <w:bottom w:w="0" w:type="dxa"/>
        <w:right w:w="0" w:type="dxa"/>
      </w:tblCellMar>
    </w:tblPr>
  </w:style>
  <w:style w:type="table" w:customStyle="1" w:styleId="127">
    <w:name w:val="List Table 1 Light - Accent 5"/>
    <w:qFormat/>
    <w:uiPriority w:val="99"/>
    <w:tblPr>
      <w:tblLayout w:type="fixed"/>
      <w:tblCellMar>
        <w:top w:w="0" w:type="dxa"/>
        <w:left w:w="0" w:type="dxa"/>
        <w:bottom w:w="0" w:type="dxa"/>
        <w:right w:w="0" w:type="dxa"/>
      </w:tblCellMar>
    </w:tblPr>
  </w:style>
  <w:style w:type="table" w:customStyle="1" w:styleId="128">
    <w:name w:val="List Table 1 Light - Accent 6"/>
    <w:qFormat/>
    <w:uiPriority w:val="99"/>
    <w:tblPr>
      <w:tblLayout w:type="fixed"/>
      <w:tblCellMar>
        <w:top w:w="0" w:type="dxa"/>
        <w:left w:w="0" w:type="dxa"/>
        <w:bottom w:w="0" w:type="dxa"/>
        <w:right w:w="0" w:type="dxa"/>
      </w:tblCellMar>
    </w:tblPr>
  </w:style>
  <w:style w:type="table" w:customStyle="1" w:styleId="129">
    <w:name w:val="清单表 21"/>
    <w:qFormat/>
    <w:uiPriority w:val="99"/>
    <w:tblPr>
      <w:tblBorders>
        <w:top w:val="single" w:color="6F6F6F" w:sz="4" w:space="0"/>
        <w:bottom w:val="single" w:color="6F6F6F" w:sz="4" w:space="0"/>
        <w:insideH w:val="single" w:color="6F6F6F" w:sz="4" w:space="0"/>
      </w:tblBorders>
      <w:tblLayout w:type="fixed"/>
      <w:tblCellMar>
        <w:top w:w="0" w:type="dxa"/>
        <w:left w:w="0" w:type="dxa"/>
        <w:bottom w:w="0" w:type="dxa"/>
        <w:right w:w="0" w:type="dxa"/>
      </w:tblCellMar>
    </w:tblPr>
  </w:style>
  <w:style w:type="table" w:customStyle="1" w:styleId="130">
    <w:name w:val="List Table 2 - Accent 1"/>
    <w:qFormat/>
    <w:uiPriority w:val="99"/>
    <w:tblPr>
      <w:tblBorders>
        <w:top w:val="single" w:color="9BB7D9" w:sz="4" w:space="0"/>
        <w:bottom w:val="single" w:color="9BB7D9" w:sz="4" w:space="0"/>
        <w:insideH w:val="single" w:color="9BB7D9" w:sz="4" w:space="0"/>
      </w:tblBorders>
      <w:tblLayout w:type="fixed"/>
      <w:tblCellMar>
        <w:top w:w="0" w:type="dxa"/>
        <w:left w:w="0" w:type="dxa"/>
        <w:bottom w:w="0" w:type="dxa"/>
        <w:right w:w="0" w:type="dxa"/>
      </w:tblCellMar>
    </w:tblPr>
  </w:style>
  <w:style w:type="table" w:customStyle="1" w:styleId="131">
    <w:name w:val="List Table 2 - Accent 2"/>
    <w:qFormat/>
    <w:uiPriority w:val="99"/>
    <w:tblPr>
      <w:tblBorders>
        <w:top w:val="single" w:color="DB9B9A" w:sz="4" w:space="0"/>
        <w:bottom w:val="single" w:color="DB9B9A" w:sz="4" w:space="0"/>
        <w:insideH w:val="single" w:color="DB9B9A" w:sz="4" w:space="0"/>
      </w:tblBorders>
      <w:tblLayout w:type="fixed"/>
      <w:tblCellMar>
        <w:top w:w="0" w:type="dxa"/>
        <w:left w:w="0" w:type="dxa"/>
        <w:bottom w:w="0" w:type="dxa"/>
        <w:right w:w="0" w:type="dxa"/>
      </w:tblCellMar>
    </w:tblPr>
  </w:style>
  <w:style w:type="table" w:customStyle="1" w:styleId="132">
    <w:name w:val="List Table 2 - Accent 3"/>
    <w:qFormat/>
    <w:uiPriority w:val="99"/>
    <w:tblPr>
      <w:tblBorders>
        <w:top w:val="single" w:color="C6D8A1" w:sz="4" w:space="0"/>
        <w:bottom w:val="single" w:color="C6D8A1" w:sz="4" w:space="0"/>
        <w:insideH w:val="single" w:color="C6D8A1" w:sz="4" w:space="0"/>
      </w:tblBorders>
      <w:tblLayout w:type="fixed"/>
      <w:tblCellMar>
        <w:top w:w="0" w:type="dxa"/>
        <w:left w:w="0" w:type="dxa"/>
        <w:bottom w:w="0" w:type="dxa"/>
        <w:right w:w="0" w:type="dxa"/>
      </w:tblCellMar>
    </w:tblPr>
  </w:style>
  <w:style w:type="table" w:customStyle="1" w:styleId="133">
    <w:name w:val="List Table 2 - Accent 4"/>
    <w:qFormat/>
    <w:uiPriority w:val="99"/>
    <w:tblPr>
      <w:tblBorders>
        <w:top w:val="single" w:color="B7A7CA" w:sz="4" w:space="0"/>
        <w:bottom w:val="single" w:color="B7A7CA" w:sz="4" w:space="0"/>
        <w:insideH w:val="single" w:color="B7A7CA" w:sz="4" w:space="0"/>
      </w:tblBorders>
      <w:tblLayout w:type="fixed"/>
      <w:tblCellMar>
        <w:top w:w="0" w:type="dxa"/>
        <w:left w:w="0" w:type="dxa"/>
        <w:bottom w:w="0" w:type="dxa"/>
        <w:right w:w="0" w:type="dxa"/>
      </w:tblCellMar>
    </w:tblPr>
  </w:style>
  <w:style w:type="table" w:customStyle="1" w:styleId="134">
    <w:name w:val="List Table 2 - Accent 5"/>
    <w:qFormat/>
    <w:uiPriority w:val="99"/>
    <w:tblPr>
      <w:tblBorders>
        <w:top w:val="single" w:color="99D0DE" w:sz="4" w:space="0"/>
        <w:bottom w:val="single" w:color="99D0DE" w:sz="4" w:space="0"/>
        <w:insideH w:val="single" w:color="99D0DE" w:sz="4" w:space="0"/>
      </w:tblBorders>
      <w:tblLayout w:type="fixed"/>
      <w:tblCellMar>
        <w:top w:w="0" w:type="dxa"/>
        <w:left w:w="0" w:type="dxa"/>
        <w:bottom w:w="0" w:type="dxa"/>
        <w:right w:w="0" w:type="dxa"/>
      </w:tblCellMar>
    </w:tblPr>
  </w:style>
  <w:style w:type="table" w:customStyle="1" w:styleId="135">
    <w:name w:val="List Table 2 - Accent 6"/>
    <w:qFormat/>
    <w:uiPriority w:val="99"/>
    <w:tblPr>
      <w:tblBorders>
        <w:top w:val="single" w:color="FAC396" w:sz="4" w:space="0"/>
        <w:bottom w:val="single" w:color="FAC396" w:sz="4" w:space="0"/>
        <w:insideH w:val="single" w:color="FAC396" w:sz="4" w:space="0"/>
      </w:tblBorders>
      <w:tblLayout w:type="fixed"/>
      <w:tblCellMar>
        <w:top w:w="0" w:type="dxa"/>
        <w:left w:w="0" w:type="dxa"/>
        <w:bottom w:w="0" w:type="dxa"/>
        <w:right w:w="0" w:type="dxa"/>
      </w:tblCellMar>
    </w:tblPr>
  </w:style>
  <w:style w:type="table" w:customStyle="1" w:styleId="136">
    <w:name w:val="清单表 31"/>
    <w:qFormat/>
    <w:uiPriority w:val="99"/>
    <w:tblPr>
      <w:tblBorders>
        <w:top w:val="single" w:color="000000" w:sz="4" w:space="0"/>
        <w:left w:val="single" w:color="000000" w:sz="4" w:space="0"/>
        <w:bottom w:val="single" w:color="000000" w:sz="4" w:space="0"/>
        <w:right w:val="single" w:color="000000" w:sz="4" w:space="0"/>
      </w:tblBorders>
      <w:tblLayout w:type="fixed"/>
      <w:tblCellMar>
        <w:top w:w="0" w:type="dxa"/>
        <w:left w:w="0" w:type="dxa"/>
        <w:bottom w:w="0" w:type="dxa"/>
        <w:right w:w="0" w:type="dxa"/>
      </w:tblCellMar>
    </w:tblPr>
  </w:style>
  <w:style w:type="table" w:customStyle="1" w:styleId="137">
    <w:name w:val="List Table 3 - Accent 1"/>
    <w:qFormat/>
    <w:uiPriority w:val="99"/>
    <w:tblPr>
      <w:tblBorders>
        <w:top w:val="single" w:color="4F81BD" w:sz="4" w:space="0"/>
        <w:left w:val="single" w:color="4F81BD" w:sz="4" w:space="0"/>
        <w:bottom w:val="single" w:color="4F81BD" w:sz="4" w:space="0"/>
        <w:right w:val="single" w:color="4F81BD" w:sz="4" w:space="0"/>
      </w:tblBorders>
      <w:tblLayout w:type="fixed"/>
      <w:tblCellMar>
        <w:top w:w="0" w:type="dxa"/>
        <w:left w:w="0" w:type="dxa"/>
        <w:bottom w:w="0" w:type="dxa"/>
        <w:right w:w="0" w:type="dxa"/>
      </w:tblCellMar>
    </w:tblPr>
  </w:style>
  <w:style w:type="table" w:customStyle="1" w:styleId="138">
    <w:name w:val="List Table 3 - Accent 2"/>
    <w:qFormat/>
    <w:uiPriority w:val="99"/>
    <w:tblPr>
      <w:tblBorders>
        <w:top w:val="single" w:color="D99695" w:sz="4" w:space="0"/>
        <w:left w:val="single" w:color="D99695" w:sz="4" w:space="0"/>
        <w:bottom w:val="single" w:color="D99695" w:sz="4" w:space="0"/>
        <w:right w:val="single" w:color="D99695" w:sz="4" w:space="0"/>
      </w:tblBorders>
      <w:tblLayout w:type="fixed"/>
      <w:tblCellMar>
        <w:top w:w="0" w:type="dxa"/>
        <w:left w:w="0" w:type="dxa"/>
        <w:bottom w:w="0" w:type="dxa"/>
        <w:right w:w="0" w:type="dxa"/>
      </w:tblCellMar>
    </w:tblPr>
  </w:style>
  <w:style w:type="table" w:customStyle="1" w:styleId="139">
    <w:name w:val="List Table 3 - Accent 3"/>
    <w:qFormat/>
    <w:uiPriority w:val="99"/>
    <w:tblPr>
      <w:tblBorders>
        <w:top w:val="single" w:color="C3D69B" w:sz="4" w:space="0"/>
        <w:left w:val="single" w:color="C3D69B" w:sz="4" w:space="0"/>
        <w:bottom w:val="single" w:color="C3D69B" w:sz="4" w:space="0"/>
        <w:right w:val="single" w:color="C3D69B" w:sz="4" w:space="0"/>
      </w:tblBorders>
      <w:tblLayout w:type="fixed"/>
      <w:tblCellMar>
        <w:top w:w="0" w:type="dxa"/>
        <w:left w:w="0" w:type="dxa"/>
        <w:bottom w:w="0" w:type="dxa"/>
        <w:right w:w="0" w:type="dxa"/>
      </w:tblCellMar>
    </w:tblPr>
  </w:style>
  <w:style w:type="table" w:customStyle="1" w:styleId="140">
    <w:name w:val="List Table 3 - Accent 4"/>
    <w:qFormat/>
    <w:uiPriority w:val="99"/>
    <w:tblPr>
      <w:tblBorders>
        <w:top w:val="single" w:color="B2A1C6" w:sz="4" w:space="0"/>
        <w:left w:val="single" w:color="B2A1C6" w:sz="4" w:space="0"/>
        <w:bottom w:val="single" w:color="B2A1C6" w:sz="4" w:space="0"/>
        <w:right w:val="single" w:color="B2A1C6" w:sz="4" w:space="0"/>
      </w:tblBorders>
      <w:tblLayout w:type="fixed"/>
      <w:tblCellMar>
        <w:top w:w="0" w:type="dxa"/>
        <w:left w:w="0" w:type="dxa"/>
        <w:bottom w:w="0" w:type="dxa"/>
        <w:right w:w="0" w:type="dxa"/>
      </w:tblCellMar>
    </w:tblPr>
  </w:style>
  <w:style w:type="table" w:customStyle="1" w:styleId="141">
    <w:name w:val="List Table 3 - Accent 5"/>
    <w:qFormat/>
    <w:uiPriority w:val="99"/>
    <w:tblPr>
      <w:tblBorders>
        <w:top w:val="single" w:color="92CCDC" w:sz="4" w:space="0"/>
        <w:left w:val="single" w:color="92CCDC" w:sz="4" w:space="0"/>
        <w:bottom w:val="single" w:color="92CCDC" w:sz="4" w:space="0"/>
        <w:right w:val="single" w:color="92CCDC" w:sz="4" w:space="0"/>
      </w:tblBorders>
      <w:tblLayout w:type="fixed"/>
      <w:tblCellMar>
        <w:top w:w="0" w:type="dxa"/>
        <w:left w:w="0" w:type="dxa"/>
        <w:bottom w:w="0" w:type="dxa"/>
        <w:right w:w="0" w:type="dxa"/>
      </w:tblCellMar>
    </w:tblPr>
  </w:style>
  <w:style w:type="table" w:customStyle="1" w:styleId="142">
    <w:name w:val="List Table 3 - Accent 6"/>
    <w:qFormat/>
    <w:uiPriority w:val="99"/>
    <w:tblPr>
      <w:tblBorders>
        <w:top w:val="single" w:color="FAC090" w:sz="4" w:space="0"/>
        <w:left w:val="single" w:color="FAC090" w:sz="4" w:space="0"/>
        <w:bottom w:val="single" w:color="FAC090" w:sz="4" w:space="0"/>
        <w:right w:val="single" w:color="FAC090" w:sz="4" w:space="0"/>
      </w:tblBorders>
      <w:tblLayout w:type="fixed"/>
      <w:tblCellMar>
        <w:top w:w="0" w:type="dxa"/>
        <w:left w:w="0" w:type="dxa"/>
        <w:bottom w:w="0" w:type="dxa"/>
        <w:right w:w="0" w:type="dxa"/>
      </w:tblCellMar>
    </w:tblPr>
  </w:style>
  <w:style w:type="table" w:customStyle="1" w:styleId="143">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CellMar>
        <w:top w:w="0" w:type="dxa"/>
        <w:left w:w="0" w:type="dxa"/>
        <w:bottom w:w="0" w:type="dxa"/>
        <w:right w:w="0" w:type="dxa"/>
      </w:tblCellMar>
    </w:tblPr>
  </w:style>
  <w:style w:type="table" w:customStyle="1" w:styleId="144">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CellMar>
        <w:top w:w="0" w:type="dxa"/>
        <w:left w:w="0" w:type="dxa"/>
        <w:bottom w:w="0" w:type="dxa"/>
        <w:right w:w="0" w:type="dxa"/>
      </w:tblCellMar>
    </w:tblPr>
  </w:style>
  <w:style w:type="table" w:customStyle="1" w:styleId="145">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Layout w:type="fixed"/>
      <w:tblCellMar>
        <w:top w:w="0" w:type="dxa"/>
        <w:left w:w="0" w:type="dxa"/>
        <w:bottom w:w="0" w:type="dxa"/>
        <w:right w:w="0" w:type="dxa"/>
      </w:tblCellMar>
    </w:tblPr>
  </w:style>
  <w:style w:type="table" w:customStyle="1" w:styleId="146">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CellMar>
        <w:top w:w="0" w:type="dxa"/>
        <w:left w:w="0" w:type="dxa"/>
        <w:bottom w:w="0" w:type="dxa"/>
        <w:right w:w="0" w:type="dxa"/>
      </w:tblCellMar>
    </w:tblPr>
  </w:style>
  <w:style w:type="table" w:customStyle="1" w:styleId="147">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CellMar>
        <w:top w:w="0" w:type="dxa"/>
        <w:left w:w="0" w:type="dxa"/>
        <w:bottom w:w="0" w:type="dxa"/>
        <w:right w:w="0" w:type="dxa"/>
      </w:tblCellMar>
    </w:tblPr>
  </w:style>
  <w:style w:type="table" w:customStyle="1" w:styleId="148">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CellMar>
        <w:top w:w="0" w:type="dxa"/>
        <w:left w:w="0" w:type="dxa"/>
        <w:bottom w:w="0" w:type="dxa"/>
        <w:right w:w="0" w:type="dxa"/>
      </w:tblCellMar>
    </w:tblPr>
  </w:style>
  <w:style w:type="table" w:customStyle="1" w:styleId="149">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CellMar>
        <w:top w:w="0" w:type="dxa"/>
        <w:left w:w="0" w:type="dxa"/>
        <w:bottom w:w="0" w:type="dxa"/>
        <w:right w:w="0" w:type="dxa"/>
      </w:tblCellMar>
    </w:tblPr>
  </w:style>
  <w:style w:type="table" w:customStyle="1" w:styleId="150">
    <w:name w:val="清单表 5 深色1"/>
    <w:qFormat/>
    <w:uiPriority w:val="99"/>
    <w:tblPr>
      <w:tblBorders>
        <w:top w:val="single" w:color="7F7F7F" w:sz="32" w:space="0"/>
        <w:left w:val="single" w:color="7F7F7F" w:sz="32" w:space="0"/>
        <w:bottom w:val="single" w:color="7F7F7F" w:sz="32" w:space="0"/>
        <w:right w:val="single" w:color="7F7F7F" w:sz="32" w:space="0"/>
      </w:tblBorders>
      <w:tblLayout w:type="fixed"/>
      <w:tblCellMar>
        <w:top w:w="0" w:type="dxa"/>
        <w:left w:w="0" w:type="dxa"/>
        <w:bottom w:w="0" w:type="dxa"/>
        <w:right w:w="0" w:type="dxa"/>
      </w:tblCellMar>
    </w:tblPr>
  </w:style>
  <w:style w:type="table" w:customStyle="1" w:styleId="151">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Layout w:type="fixed"/>
      <w:tblCellMar>
        <w:top w:w="0" w:type="dxa"/>
        <w:left w:w="0" w:type="dxa"/>
        <w:bottom w:w="0" w:type="dxa"/>
        <w:right w:w="0" w:type="dxa"/>
      </w:tblCellMar>
    </w:tblPr>
  </w:style>
  <w:style w:type="table" w:customStyle="1" w:styleId="152">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Layout w:type="fixed"/>
      <w:tblCellMar>
        <w:top w:w="0" w:type="dxa"/>
        <w:left w:w="0" w:type="dxa"/>
        <w:bottom w:w="0" w:type="dxa"/>
        <w:right w:w="0" w:type="dxa"/>
      </w:tblCellMar>
    </w:tblPr>
  </w:style>
  <w:style w:type="table" w:customStyle="1" w:styleId="153">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Layout w:type="fixed"/>
      <w:tblCellMar>
        <w:top w:w="0" w:type="dxa"/>
        <w:left w:w="0" w:type="dxa"/>
        <w:bottom w:w="0" w:type="dxa"/>
        <w:right w:w="0" w:type="dxa"/>
      </w:tblCellMar>
    </w:tblPr>
  </w:style>
  <w:style w:type="table" w:customStyle="1" w:styleId="154">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Layout w:type="fixed"/>
      <w:tblCellMar>
        <w:top w:w="0" w:type="dxa"/>
        <w:left w:w="0" w:type="dxa"/>
        <w:bottom w:w="0" w:type="dxa"/>
        <w:right w:w="0" w:type="dxa"/>
      </w:tblCellMar>
    </w:tblPr>
  </w:style>
  <w:style w:type="table" w:customStyle="1" w:styleId="155">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Layout w:type="fixed"/>
      <w:tblCellMar>
        <w:top w:w="0" w:type="dxa"/>
        <w:left w:w="0" w:type="dxa"/>
        <w:bottom w:w="0" w:type="dxa"/>
        <w:right w:w="0" w:type="dxa"/>
      </w:tblCellMar>
    </w:tblPr>
  </w:style>
  <w:style w:type="table" w:customStyle="1" w:styleId="156">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Layout w:type="fixed"/>
      <w:tblCellMar>
        <w:top w:w="0" w:type="dxa"/>
        <w:left w:w="0" w:type="dxa"/>
        <w:bottom w:w="0" w:type="dxa"/>
        <w:right w:w="0" w:type="dxa"/>
      </w:tblCellMar>
    </w:tblPr>
  </w:style>
  <w:style w:type="table" w:customStyle="1" w:styleId="157">
    <w:name w:val="清单表 6 彩色1"/>
    <w:qFormat/>
    <w:uiPriority w:val="99"/>
    <w:tblPr>
      <w:tblBorders>
        <w:top w:val="single" w:color="7F7F7F" w:sz="4" w:space="0"/>
        <w:bottom w:val="single" w:color="7F7F7F" w:sz="4" w:space="0"/>
      </w:tblBorders>
      <w:tblLayout w:type="fixed"/>
      <w:tblCellMar>
        <w:top w:w="0" w:type="dxa"/>
        <w:left w:w="0" w:type="dxa"/>
        <w:bottom w:w="0" w:type="dxa"/>
        <w:right w:w="0" w:type="dxa"/>
      </w:tblCellMar>
    </w:tblPr>
  </w:style>
  <w:style w:type="table" w:customStyle="1" w:styleId="158">
    <w:name w:val="List Table 6 Colorful - Accent 1"/>
    <w:qFormat/>
    <w:uiPriority w:val="99"/>
    <w:tblPr>
      <w:tblBorders>
        <w:top w:val="single" w:color="4F81BD" w:sz="4" w:space="0"/>
        <w:bottom w:val="single" w:color="4F81BD" w:sz="4" w:space="0"/>
      </w:tblBorders>
      <w:tblLayout w:type="fixed"/>
      <w:tblCellMar>
        <w:top w:w="0" w:type="dxa"/>
        <w:left w:w="0" w:type="dxa"/>
        <w:bottom w:w="0" w:type="dxa"/>
        <w:right w:w="0" w:type="dxa"/>
      </w:tblCellMar>
    </w:tblPr>
  </w:style>
  <w:style w:type="table" w:customStyle="1" w:styleId="159">
    <w:name w:val="List Table 6 Colorful - Accent 2"/>
    <w:qFormat/>
    <w:uiPriority w:val="99"/>
    <w:tblPr>
      <w:tblBorders>
        <w:top w:val="single" w:color="D99695" w:sz="4" w:space="0"/>
        <w:bottom w:val="single" w:color="D99695" w:sz="4" w:space="0"/>
      </w:tblBorders>
      <w:tblLayout w:type="fixed"/>
      <w:tblCellMar>
        <w:top w:w="0" w:type="dxa"/>
        <w:left w:w="0" w:type="dxa"/>
        <w:bottom w:w="0" w:type="dxa"/>
        <w:right w:w="0" w:type="dxa"/>
      </w:tblCellMar>
    </w:tblPr>
  </w:style>
  <w:style w:type="table" w:customStyle="1" w:styleId="160">
    <w:name w:val="List Table 6 Colorful - Accent 3"/>
    <w:qFormat/>
    <w:uiPriority w:val="99"/>
    <w:tblPr>
      <w:tblBorders>
        <w:top w:val="single" w:color="C3D69B" w:sz="4" w:space="0"/>
        <w:bottom w:val="single" w:color="C3D69B" w:sz="4" w:space="0"/>
      </w:tblBorders>
      <w:tblLayout w:type="fixed"/>
      <w:tblCellMar>
        <w:top w:w="0" w:type="dxa"/>
        <w:left w:w="0" w:type="dxa"/>
        <w:bottom w:w="0" w:type="dxa"/>
        <w:right w:w="0" w:type="dxa"/>
      </w:tblCellMar>
    </w:tblPr>
  </w:style>
  <w:style w:type="table" w:customStyle="1" w:styleId="161">
    <w:name w:val="List Table 6 Colorful - Accent 4"/>
    <w:qFormat/>
    <w:uiPriority w:val="99"/>
    <w:tblPr>
      <w:tblBorders>
        <w:top w:val="single" w:color="B2A1C6" w:sz="4" w:space="0"/>
        <w:bottom w:val="single" w:color="B2A1C6" w:sz="4" w:space="0"/>
      </w:tblBorders>
      <w:tblLayout w:type="fixed"/>
      <w:tblCellMar>
        <w:top w:w="0" w:type="dxa"/>
        <w:left w:w="0" w:type="dxa"/>
        <w:bottom w:w="0" w:type="dxa"/>
        <w:right w:w="0" w:type="dxa"/>
      </w:tblCellMar>
    </w:tblPr>
  </w:style>
  <w:style w:type="table" w:customStyle="1" w:styleId="162">
    <w:name w:val="List Table 6 Colorful - Accent 5"/>
    <w:qFormat/>
    <w:uiPriority w:val="99"/>
    <w:tblPr>
      <w:tblBorders>
        <w:top w:val="single" w:color="92CCDC" w:sz="4" w:space="0"/>
        <w:bottom w:val="single" w:color="92CCDC" w:sz="4" w:space="0"/>
      </w:tblBorders>
      <w:tblLayout w:type="fixed"/>
      <w:tblCellMar>
        <w:top w:w="0" w:type="dxa"/>
        <w:left w:w="0" w:type="dxa"/>
        <w:bottom w:w="0" w:type="dxa"/>
        <w:right w:w="0" w:type="dxa"/>
      </w:tblCellMar>
    </w:tblPr>
  </w:style>
  <w:style w:type="table" w:customStyle="1" w:styleId="163">
    <w:name w:val="List Table 6 Colorful - Accent 6"/>
    <w:qFormat/>
    <w:uiPriority w:val="99"/>
    <w:tblPr>
      <w:tblBorders>
        <w:top w:val="single" w:color="FAC090" w:sz="4" w:space="0"/>
        <w:bottom w:val="single" w:color="FAC090" w:sz="4" w:space="0"/>
      </w:tblBorders>
      <w:tblLayout w:type="fixed"/>
      <w:tblCellMar>
        <w:top w:w="0" w:type="dxa"/>
        <w:left w:w="0" w:type="dxa"/>
        <w:bottom w:w="0" w:type="dxa"/>
        <w:right w:w="0" w:type="dxa"/>
      </w:tblCellMar>
    </w:tblPr>
  </w:style>
  <w:style w:type="table" w:customStyle="1" w:styleId="164">
    <w:name w:val="清单表 7 彩色1"/>
    <w:qFormat/>
    <w:uiPriority w:val="99"/>
    <w:tblPr>
      <w:tblBorders>
        <w:right w:val="single" w:color="7F7F7F" w:sz="4" w:space="0"/>
      </w:tblBorders>
      <w:tblLayout w:type="fixed"/>
      <w:tblCellMar>
        <w:top w:w="0" w:type="dxa"/>
        <w:left w:w="0" w:type="dxa"/>
        <w:bottom w:w="0" w:type="dxa"/>
        <w:right w:w="0" w:type="dxa"/>
      </w:tblCellMar>
    </w:tblPr>
  </w:style>
  <w:style w:type="table" w:customStyle="1" w:styleId="165">
    <w:name w:val="List Table 7 Colorful - Accent 1"/>
    <w:qFormat/>
    <w:uiPriority w:val="99"/>
    <w:tblPr>
      <w:tblBorders>
        <w:right w:val="single" w:color="4F81BD" w:sz="4" w:space="0"/>
      </w:tblBorders>
      <w:tblLayout w:type="fixed"/>
      <w:tblCellMar>
        <w:top w:w="0" w:type="dxa"/>
        <w:left w:w="0" w:type="dxa"/>
        <w:bottom w:w="0" w:type="dxa"/>
        <w:right w:w="0" w:type="dxa"/>
      </w:tblCellMar>
    </w:tblPr>
  </w:style>
  <w:style w:type="table" w:customStyle="1" w:styleId="166">
    <w:name w:val="List Table 7 Colorful - Accent 2"/>
    <w:qFormat/>
    <w:uiPriority w:val="99"/>
    <w:tblPr>
      <w:tblBorders>
        <w:right w:val="single" w:color="D99695" w:sz="4" w:space="0"/>
      </w:tblBorders>
      <w:tblLayout w:type="fixed"/>
      <w:tblCellMar>
        <w:top w:w="0" w:type="dxa"/>
        <w:left w:w="0" w:type="dxa"/>
        <w:bottom w:w="0" w:type="dxa"/>
        <w:right w:w="0" w:type="dxa"/>
      </w:tblCellMar>
    </w:tblPr>
  </w:style>
  <w:style w:type="table" w:customStyle="1" w:styleId="167">
    <w:name w:val="List Table 7 Colorful - Accent 3"/>
    <w:qFormat/>
    <w:uiPriority w:val="99"/>
    <w:tblPr>
      <w:tblBorders>
        <w:right w:val="single" w:color="C3D69B" w:sz="4" w:space="0"/>
      </w:tblBorders>
      <w:tblLayout w:type="fixed"/>
      <w:tblCellMar>
        <w:top w:w="0" w:type="dxa"/>
        <w:left w:w="0" w:type="dxa"/>
        <w:bottom w:w="0" w:type="dxa"/>
        <w:right w:w="0" w:type="dxa"/>
      </w:tblCellMar>
    </w:tblPr>
  </w:style>
  <w:style w:type="table" w:customStyle="1" w:styleId="168">
    <w:name w:val="List Table 7 Colorful - Accent 4"/>
    <w:qFormat/>
    <w:uiPriority w:val="99"/>
    <w:tblPr>
      <w:tblBorders>
        <w:right w:val="single" w:color="B2A1C6" w:sz="4" w:space="0"/>
      </w:tblBorders>
      <w:tblLayout w:type="fixed"/>
      <w:tblCellMar>
        <w:top w:w="0" w:type="dxa"/>
        <w:left w:w="0" w:type="dxa"/>
        <w:bottom w:w="0" w:type="dxa"/>
        <w:right w:w="0" w:type="dxa"/>
      </w:tblCellMar>
    </w:tblPr>
  </w:style>
  <w:style w:type="table" w:customStyle="1" w:styleId="169">
    <w:name w:val="List Table 7 Colorful - Accent 5"/>
    <w:qFormat/>
    <w:uiPriority w:val="99"/>
    <w:tblPr>
      <w:tblBorders>
        <w:right w:val="single" w:color="92CCDC" w:sz="4" w:space="0"/>
      </w:tblBorders>
      <w:tblLayout w:type="fixed"/>
      <w:tblCellMar>
        <w:top w:w="0" w:type="dxa"/>
        <w:left w:w="0" w:type="dxa"/>
        <w:bottom w:w="0" w:type="dxa"/>
        <w:right w:w="0" w:type="dxa"/>
      </w:tblCellMar>
    </w:tblPr>
  </w:style>
  <w:style w:type="table" w:customStyle="1" w:styleId="170">
    <w:name w:val="List Table 7 Colorful - Accent 6"/>
    <w:qFormat/>
    <w:uiPriority w:val="99"/>
    <w:tblPr>
      <w:tblBorders>
        <w:right w:val="single" w:color="FAC090" w:sz="4" w:space="0"/>
      </w:tblBorders>
      <w:tblLayout w:type="fixed"/>
      <w:tblCellMar>
        <w:top w:w="0" w:type="dxa"/>
        <w:left w:w="0" w:type="dxa"/>
        <w:bottom w:w="0" w:type="dxa"/>
        <w:right w:w="0" w:type="dxa"/>
      </w:tblCellMar>
    </w:tblPr>
  </w:style>
  <w:style w:type="table" w:customStyle="1" w:styleId="171">
    <w:name w:val="Lined - Accent"/>
    <w:qFormat/>
    <w:uiPriority w:val="99"/>
    <w:rPr>
      <w:color w:val="404040"/>
    </w:rPr>
    <w:tblPr>
      <w:tblLayout w:type="fixed"/>
      <w:tblCellMar>
        <w:top w:w="0" w:type="dxa"/>
        <w:left w:w="0" w:type="dxa"/>
        <w:bottom w:w="0" w:type="dxa"/>
        <w:right w:w="0" w:type="dxa"/>
      </w:tblCellMar>
    </w:tblPr>
  </w:style>
  <w:style w:type="table" w:customStyle="1" w:styleId="172">
    <w:name w:val="Lined - Accent 1"/>
    <w:qFormat/>
    <w:uiPriority w:val="99"/>
    <w:rPr>
      <w:color w:val="404040"/>
    </w:rPr>
    <w:tblPr>
      <w:tblLayout w:type="fixed"/>
      <w:tblCellMar>
        <w:top w:w="0" w:type="dxa"/>
        <w:left w:w="0" w:type="dxa"/>
        <w:bottom w:w="0" w:type="dxa"/>
        <w:right w:w="0" w:type="dxa"/>
      </w:tblCellMar>
    </w:tblPr>
  </w:style>
  <w:style w:type="table" w:customStyle="1" w:styleId="173">
    <w:name w:val="Lined - Accent 2"/>
    <w:qFormat/>
    <w:uiPriority w:val="99"/>
    <w:rPr>
      <w:color w:val="404040"/>
    </w:rPr>
    <w:tblPr>
      <w:tblLayout w:type="fixed"/>
      <w:tblCellMar>
        <w:top w:w="0" w:type="dxa"/>
        <w:left w:w="0" w:type="dxa"/>
        <w:bottom w:w="0" w:type="dxa"/>
        <w:right w:w="0" w:type="dxa"/>
      </w:tblCellMar>
    </w:tblPr>
  </w:style>
  <w:style w:type="table" w:customStyle="1" w:styleId="174">
    <w:name w:val="Lined - Accent 3"/>
    <w:qFormat/>
    <w:uiPriority w:val="99"/>
    <w:rPr>
      <w:color w:val="404040"/>
    </w:rPr>
    <w:tblPr>
      <w:tblLayout w:type="fixed"/>
      <w:tblCellMar>
        <w:top w:w="0" w:type="dxa"/>
        <w:left w:w="0" w:type="dxa"/>
        <w:bottom w:w="0" w:type="dxa"/>
        <w:right w:w="0" w:type="dxa"/>
      </w:tblCellMar>
    </w:tblPr>
  </w:style>
  <w:style w:type="table" w:customStyle="1" w:styleId="175">
    <w:name w:val="Lined - Accent 4"/>
    <w:qFormat/>
    <w:uiPriority w:val="99"/>
    <w:rPr>
      <w:color w:val="404040"/>
    </w:rPr>
    <w:tblPr>
      <w:tblLayout w:type="fixed"/>
      <w:tblCellMar>
        <w:top w:w="0" w:type="dxa"/>
        <w:left w:w="0" w:type="dxa"/>
        <w:bottom w:w="0" w:type="dxa"/>
        <w:right w:w="0" w:type="dxa"/>
      </w:tblCellMar>
    </w:tblPr>
  </w:style>
  <w:style w:type="table" w:customStyle="1" w:styleId="176">
    <w:name w:val="Lined - Accent 5"/>
    <w:qFormat/>
    <w:uiPriority w:val="99"/>
    <w:rPr>
      <w:color w:val="404040"/>
    </w:rPr>
    <w:tblPr>
      <w:tblLayout w:type="fixed"/>
      <w:tblCellMar>
        <w:top w:w="0" w:type="dxa"/>
        <w:left w:w="0" w:type="dxa"/>
        <w:bottom w:w="0" w:type="dxa"/>
        <w:right w:w="0" w:type="dxa"/>
      </w:tblCellMar>
    </w:tblPr>
  </w:style>
  <w:style w:type="table" w:customStyle="1" w:styleId="177">
    <w:name w:val="Lined - Accent 6"/>
    <w:qFormat/>
    <w:uiPriority w:val="99"/>
    <w:rPr>
      <w:color w:val="404040"/>
    </w:rPr>
    <w:tblPr>
      <w:tblLayout w:type="fixed"/>
      <w:tblCellMar>
        <w:top w:w="0" w:type="dxa"/>
        <w:left w:w="0" w:type="dxa"/>
        <w:bottom w:w="0" w:type="dxa"/>
        <w:right w:w="0" w:type="dxa"/>
      </w:tblCellMar>
    </w:tblPr>
  </w:style>
  <w:style w:type="table" w:customStyle="1" w:styleId="178">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Layout w:type="fixed"/>
      <w:tblCellMar>
        <w:top w:w="0" w:type="dxa"/>
        <w:left w:w="0" w:type="dxa"/>
        <w:bottom w:w="0" w:type="dxa"/>
        <w:right w:w="0" w:type="dxa"/>
      </w:tblCellMar>
    </w:tblPr>
  </w:style>
  <w:style w:type="table" w:customStyle="1" w:styleId="179">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Layout w:type="fixed"/>
      <w:tblCellMar>
        <w:top w:w="0" w:type="dxa"/>
        <w:left w:w="0" w:type="dxa"/>
        <w:bottom w:w="0" w:type="dxa"/>
        <w:right w:w="0" w:type="dxa"/>
      </w:tblCellMar>
    </w:tblPr>
  </w:style>
  <w:style w:type="table" w:customStyle="1" w:styleId="180">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Layout w:type="fixed"/>
      <w:tblCellMar>
        <w:top w:w="0" w:type="dxa"/>
        <w:left w:w="0" w:type="dxa"/>
        <w:bottom w:w="0" w:type="dxa"/>
        <w:right w:w="0" w:type="dxa"/>
      </w:tblCellMar>
    </w:tblPr>
  </w:style>
  <w:style w:type="table" w:customStyle="1" w:styleId="181">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Layout w:type="fixed"/>
      <w:tblCellMar>
        <w:top w:w="0" w:type="dxa"/>
        <w:left w:w="0" w:type="dxa"/>
        <w:bottom w:w="0" w:type="dxa"/>
        <w:right w:w="0" w:type="dxa"/>
      </w:tblCellMar>
    </w:tblPr>
  </w:style>
  <w:style w:type="table" w:customStyle="1" w:styleId="182">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CellMar>
        <w:top w:w="0" w:type="dxa"/>
        <w:left w:w="0" w:type="dxa"/>
        <w:bottom w:w="0" w:type="dxa"/>
        <w:right w:w="0" w:type="dxa"/>
      </w:tblCellMar>
    </w:tblPr>
  </w:style>
  <w:style w:type="table" w:customStyle="1" w:styleId="183">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CellMar>
        <w:top w:w="0" w:type="dxa"/>
        <w:left w:w="0" w:type="dxa"/>
        <w:bottom w:w="0" w:type="dxa"/>
        <w:right w:w="0" w:type="dxa"/>
      </w:tblCellMar>
    </w:tblPr>
  </w:style>
  <w:style w:type="table" w:customStyle="1" w:styleId="184">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CellMar>
        <w:top w:w="0" w:type="dxa"/>
        <w:left w:w="0" w:type="dxa"/>
        <w:bottom w:w="0" w:type="dxa"/>
        <w:right w:w="0" w:type="dxa"/>
      </w:tblCellMar>
    </w:tblPr>
  </w:style>
  <w:style w:type="table" w:customStyle="1" w:styleId="185">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Layout w:type="fixed"/>
      <w:tblCellMar>
        <w:top w:w="0" w:type="dxa"/>
        <w:left w:w="0" w:type="dxa"/>
        <w:bottom w:w="0" w:type="dxa"/>
        <w:right w:w="0" w:type="dxa"/>
      </w:tblCellMar>
    </w:tblPr>
  </w:style>
  <w:style w:type="table" w:customStyle="1" w:styleId="186">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Layout w:type="fixed"/>
      <w:tblCellMar>
        <w:top w:w="0" w:type="dxa"/>
        <w:left w:w="0" w:type="dxa"/>
        <w:bottom w:w="0" w:type="dxa"/>
        <w:right w:w="0" w:type="dxa"/>
      </w:tblCellMar>
    </w:tblPr>
  </w:style>
  <w:style w:type="table" w:customStyle="1" w:styleId="187">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Layout w:type="fixed"/>
      <w:tblCellMar>
        <w:top w:w="0" w:type="dxa"/>
        <w:left w:w="0" w:type="dxa"/>
        <w:bottom w:w="0" w:type="dxa"/>
        <w:right w:w="0" w:type="dxa"/>
      </w:tblCellMar>
    </w:tblPr>
  </w:style>
  <w:style w:type="table" w:customStyle="1" w:styleId="188">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CellMar>
        <w:top w:w="0" w:type="dxa"/>
        <w:left w:w="0" w:type="dxa"/>
        <w:bottom w:w="0" w:type="dxa"/>
        <w:right w:w="0" w:type="dxa"/>
      </w:tblCellMar>
    </w:tblPr>
  </w:style>
  <w:style w:type="table" w:customStyle="1" w:styleId="189">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CellMar>
        <w:top w:w="0" w:type="dxa"/>
        <w:left w:w="0" w:type="dxa"/>
        <w:bottom w:w="0" w:type="dxa"/>
        <w:right w:w="0" w:type="dxa"/>
      </w:tblCellMar>
    </w:tblPr>
  </w:style>
  <w:style w:type="table" w:customStyle="1" w:styleId="190">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Layout w:type="fixed"/>
      <w:tblCellMar>
        <w:top w:w="0" w:type="dxa"/>
        <w:left w:w="0" w:type="dxa"/>
        <w:bottom w:w="0" w:type="dxa"/>
        <w:right w:w="0" w:type="dxa"/>
      </w:tblCellMar>
    </w:tblPr>
  </w:style>
  <w:style w:type="table" w:customStyle="1" w:styleId="191">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CellMar>
        <w:top w:w="0" w:type="dxa"/>
        <w:left w:w="0" w:type="dxa"/>
        <w:bottom w:w="0" w:type="dxa"/>
        <w:right w:w="0" w:type="dxa"/>
      </w:tblCellMar>
    </w:tblPr>
  </w:style>
  <w:style w:type="character" w:customStyle="1" w:styleId="192">
    <w:name w:val="脚注文本 字符"/>
    <w:link w:val="24"/>
    <w:qFormat/>
    <w:uiPriority w:val="99"/>
    <w:rPr>
      <w:sz w:val="18"/>
    </w:rPr>
  </w:style>
  <w:style w:type="character" w:customStyle="1" w:styleId="193">
    <w:name w:val="尾注文本 字符"/>
    <w:link w:val="18"/>
    <w:qFormat/>
    <w:uiPriority w:val="99"/>
    <w:rPr>
      <w:sz w:val="20"/>
    </w:rPr>
  </w:style>
  <w:style w:type="paragraph" w:customStyle="1" w:styleId="194">
    <w:name w:val="TOC 标题1"/>
    <w:unhideWhenUsed/>
    <w:qFormat/>
    <w:uiPriority w:val="39"/>
    <w:rPr>
      <w:rFonts w:ascii="Times New Roman" w:hAnsi="Times New Roman" w:eastAsia="宋体" w:cs="Times New Roman"/>
      <w:lang w:val="en-US" w:eastAsia="zh-CN" w:bidi="ar-SA"/>
    </w:rPr>
  </w:style>
  <w:style w:type="paragraph" w:customStyle="1" w:styleId="195">
    <w:name w:val="标题 111"/>
    <w:basedOn w:val="1"/>
    <w:next w:val="1"/>
    <w:qFormat/>
    <w:uiPriority w:val="9"/>
    <w:pPr>
      <w:keepNext/>
      <w:keepLines/>
      <w:spacing w:before="480" w:after="200"/>
      <w:outlineLvl w:val="0"/>
    </w:pPr>
    <w:rPr>
      <w:rFonts w:ascii="Arial" w:hAnsi="Arial" w:eastAsia="Arial" w:cs="Arial"/>
      <w:sz w:val="40"/>
      <w:szCs w:val="40"/>
    </w:rPr>
  </w:style>
  <w:style w:type="paragraph" w:customStyle="1" w:styleId="196">
    <w:name w:val="标题 21"/>
    <w:basedOn w:val="1"/>
    <w:next w:val="1"/>
    <w:qFormat/>
    <w:uiPriority w:val="0"/>
    <w:pPr>
      <w:keepNext/>
      <w:keepLines/>
      <w:spacing w:before="260" w:after="260" w:line="416" w:lineRule="auto"/>
      <w:outlineLvl w:val="1"/>
    </w:pPr>
    <w:rPr>
      <w:rFonts w:ascii="Calibri Light" w:hAnsi="Calibri Light"/>
      <w:b/>
      <w:bCs/>
      <w:sz w:val="24"/>
      <w:szCs w:val="32"/>
    </w:rPr>
  </w:style>
  <w:style w:type="character" w:customStyle="1" w:styleId="197">
    <w:name w:val="默认段落字体1"/>
    <w:semiHidden/>
    <w:qFormat/>
    <w:uiPriority w:val="0"/>
  </w:style>
  <w:style w:type="table" w:customStyle="1" w:styleId="198">
    <w:name w:val="普通表格1"/>
    <w:semiHidden/>
    <w:qFormat/>
    <w:uiPriority w:val="0"/>
    <w:tblPr>
      <w:tblLayout w:type="fixed"/>
      <w:tblCellMar>
        <w:top w:w="0" w:type="dxa"/>
        <w:left w:w="0" w:type="dxa"/>
        <w:bottom w:w="0" w:type="dxa"/>
        <w:right w:w="0" w:type="dxa"/>
      </w:tblCellMar>
    </w:tblPr>
  </w:style>
  <w:style w:type="paragraph" w:customStyle="1" w:styleId="199">
    <w:name w:val="正文文本1"/>
    <w:basedOn w:val="1"/>
    <w:qFormat/>
    <w:uiPriority w:val="99"/>
    <w:pPr>
      <w:spacing w:after="120"/>
    </w:pPr>
  </w:style>
  <w:style w:type="paragraph" w:customStyle="1" w:styleId="200">
    <w:name w:val="正文文本缩进11"/>
    <w:basedOn w:val="1"/>
    <w:qFormat/>
    <w:uiPriority w:val="99"/>
    <w:pPr>
      <w:spacing w:line="360" w:lineRule="auto"/>
      <w:ind w:firstLine="480"/>
    </w:pPr>
    <w:rPr>
      <w:rFonts w:ascii="宋体" w:hAnsi="宋体"/>
      <w:sz w:val="24"/>
    </w:rPr>
  </w:style>
  <w:style w:type="paragraph" w:customStyle="1" w:styleId="201">
    <w:name w:val="纯文本1"/>
    <w:basedOn w:val="1"/>
    <w:qFormat/>
    <w:uiPriority w:val="0"/>
    <w:rPr>
      <w:rFonts w:ascii="宋体" w:hAnsi="Courier New"/>
      <w:szCs w:val="21"/>
    </w:rPr>
  </w:style>
  <w:style w:type="paragraph" w:customStyle="1" w:styleId="202">
    <w:name w:val="页脚11"/>
    <w:basedOn w:val="1"/>
    <w:unhideWhenUsed/>
    <w:qFormat/>
    <w:uiPriority w:val="99"/>
    <w:pPr>
      <w:tabs>
        <w:tab w:val="center" w:pos="7143"/>
        <w:tab w:val="right" w:pos="14287"/>
      </w:tabs>
    </w:pPr>
  </w:style>
  <w:style w:type="paragraph" w:customStyle="1" w:styleId="203">
    <w:name w:val="页眉11"/>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pPr>
    <w:rPr>
      <w:sz w:val="18"/>
    </w:rPr>
  </w:style>
  <w:style w:type="paragraph" w:customStyle="1" w:styleId="204">
    <w:name w:val="目录 112"/>
    <w:basedOn w:val="1"/>
    <w:next w:val="1"/>
    <w:unhideWhenUsed/>
    <w:qFormat/>
    <w:uiPriority w:val="39"/>
    <w:pPr>
      <w:spacing w:after="57"/>
    </w:pPr>
    <w:rPr>
      <w:rFonts w:ascii="Times New Roman" w:hAnsi="Times New Roman"/>
    </w:rPr>
  </w:style>
  <w:style w:type="table" w:customStyle="1" w:styleId="205">
    <w:name w:val="网格型1"/>
    <w:qFormat/>
    <w:uiPriority w:val="59"/>
    <w:tblPr>
      <w:tblLayout w:type="fixed"/>
      <w:tblCellMar>
        <w:top w:w="0" w:type="dxa"/>
        <w:left w:w="0" w:type="dxa"/>
        <w:bottom w:w="0" w:type="dxa"/>
        <w:right w:w="0" w:type="dxa"/>
      </w:tblCellMar>
    </w:tblPr>
  </w:style>
  <w:style w:type="paragraph" w:customStyle="1" w:styleId="206">
    <w:name w:val="AONormal"/>
    <w:qFormat/>
    <w:uiPriority w:val="0"/>
    <w:pPr>
      <w:spacing w:line="400" w:lineRule="exact"/>
      <w:ind w:firstLine="440"/>
    </w:pPr>
    <w:rPr>
      <w:rFonts w:ascii="华文楷体" w:hAnsi="华文楷体" w:eastAsia="华文楷体" w:cs="华文楷体"/>
      <w:sz w:val="22"/>
      <w:szCs w:val="21"/>
      <w:lang w:val="en-US" w:eastAsia="zh-CN" w:bidi="ar-SA"/>
    </w:rPr>
  </w:style>
  <w:style w:type="paragraph" w:customStyle="1" w:styleId="207">
    <w:name w:val="列出段落1"/>
    <w:basedOn w:val="43"/>
    <w:qFormat/>
    <w:uiPriority w:val="0"/>
    <w:pPr>
      <w:ind w:firstLine="420"/>
    </w:pPr>
    <w:rPr>
      <w:rFonts w:ascii="Calibri" w:hAnsi="Calibri"/>
    </w:rPr>
  </w:style>
  <w:style w:type="paragraph" w:customStyle="1" w:styleId="208">
    <w:name w:val="无间隔11"/>
    <w:qFormat/>
    <w:uiPriority w:val="0"/>
    <w:rPr>
      <w:rFonts w:ascii="Times New Roman" w:hAnsi="Times New Roman" w:eastAsia="宋体" w:cs="Times New Roman"/>
      <w:sz w:val="22"/>
      <w:szCs w:val="22"/>
      <w:lang w:val="en-US" w:eastAsia="en-US" w:bidi="ar-SA"/>
    </w:rPr>
  </w:style>
  <w:style w:type="paragraph" w:customStyle="1" w:styleId="209">
    <w:name w:val="目录 11"/>
    <w:basedOn w:val="43"/>
    <w:next w:val="43"/>
    <w:qFormat/>
    <w:uiPriority w:val="0"/>
  </w:style>
  <w:style w:type="paragraph" w:customStyle="1" w:styleId="210">
    <w:name w:val="目录 111"/>
    <w:basedOn w:val="44"/>
    <w:next w:val="1"/>
    <w:qFormat/>
    <w:uiPriority w:val="0"/>
  </w:style>
  <w:style w:type="character" w:customStyle="1" w:styleId="211">
    <w:name w:val="超链接1"/>
    <w:qFormat/>
    <w:uiPriority w:val="0"/>
  </w:style>
  <w:style w:type="character" w:customStyle="1" w:styleId="212">
    <w:name w:val="页码1"/>
    <w:link w:val="43"/>
    <w:qFormat/>
    <w:uiPriority w:val="0"/>
  </w:style>
  <w:style w:type="paragraph" w:styleId="213">
    <w:name w:val="List Paragraph"/>
    <w:basedOn w:val="1"/>
    <w:qFormat/>
    <w:uiPriority w:val="34"/>
    <w:pPr>
      <w:ind w:left="720"/>
      <w:contextualSpacing/>
    </w:pPr>
  </w:style>
  <w:style w:type="paragraph" w:customStyle="1" w:styleId="214">
    <w:name w:val="正文缩进1"/>
    <w:basedOn w:val="43"/>
    <w:qFormat/>
    <w:uiPriority w:val="0"/>
    <w:pPr>
      <w:ind w:firstLine="420"/>
    </w:pPr>
  </w:style>
  <w:style w:type="paragraph" w:customStyle="1" w:styleId="215">
    <w:name w:val="标题 11"/>
    <w:basedOn w:val="43"/>
    <w:next w:val="43"/>
    <w:qFormat/>
    <w:uiPriority w:val="0"/>
    <w:pPr>
      <w:keepNext/>
      <w:keepLines/>
      <w:spacing w:line="578" w:lineRule="auto"/>
      <w:jc w:val="center"/>
      <w:outlineLvl w:val="0"/>
    </w:pPr>
    <w:rPr>
      <w:rFonts w:eastAsia="新宋体"/>
      <w:b/>
      <w:bCs/>
      <w:sz w:val="30"/>
      <w:szCs w:val="44"/>
    </w:rPr>
  </w:style>
  <w:style w:type="paragraph" w:customStyle="1" w:styleId="216">
    <w:name w:val="日期1"/>
    <w:basedOn w:val="43"/>
    <w:next w:val="43"/>
    <w:qFormat/>
    <w:uiPriority w:val="0"/>
    <w:rPr>
      <w:rFonts w:eastAsia="仿宋_GB2312"/>
      <w:sz w:val="28"/>
      <w:szCs w:val="20"/>
    </w:rPr>
  </w:style>
  <w:style w:type="paragraph" w:customStyle="1" w:styleId="217">
    <w:name w:val="正文文本113"/>
    <w:basedOn w:val="1"/>
    <w:next w:val="1"/>
    <w:qFormat/>
    <w:uiPriority w:val="0"/>
    <w:pPr>
      <w:spacing w:after="120"/>
    </w:pPr>
    <w:rPr>
      <w:rFonts w:ascii="Times New Roman" w:hAnsi="Times New Roman"/>
    </w:rPr>
  </w:style>
  <w:style w:type="paragraph" w:customStyle="1" w:styleId="218">
    <w:name w:val="正文文本缩进1"/>
    <w:basedOn w:val="41"/>
    <w:next w:val="219"/>
    <w:qFormat/>
    <w:uiPriority w:val="0"/>
    <w:pPr>
      <w:spacing w:after="120"/>
      <w:ind w:left="420"/>
    </w:pPr>
    <w:rPr>
      <w:rFonts w:ascii="Calibri" w:hAnsi="Calibri"/>
    </w:rPr>
  </w:style>
  <w:style w:type="paragraph" w:customStyle="1" w:styleId="219">
    <w:name w:val="寄信人地址1"/>
    <w:basedOn w:val="43"/>
    <w:qFormat/>
    <w:uiPriority w:val="0"/>
    <w:rPr>
      <w:rFonts w:ascii="Arial" w:hAnsi="Arial"/>
    </w:rPr>
  </w:style>
  <w:style w:type="paragraph" w:customStyle="1" w:styleId="220">
    <w:name w:val="普通(网站)1"/>
    <w:basedOn w:val="41"/>
    <w:qFormat/>
    <w:uiPriority w:val="0"/>
    <w:pPr>
      <w:widowControl/>
      <w:spacing w:before="100" w:beforeAutospacing="1" w:after="100" w:afterAutospacing="1"/>
      <w:jc w:val="left"/>
    </w:pPr>
    <w:rPr>
      <w:rFonts w:ascii="宋体" w:hAnsi="宋体"/>
      <w:sz w:val="24"/>
    </w:rPr>
  </w:style>
  <w:style w:type="paragraph" w:customStyle="1" w:styleId="221">
    <w:name w:val="正文首行缩进 21"/>
    <w:basedOn w:val="218"/>
    <w:qFormat/>
    <w:uiPriority w:val="0"/>
    <w:pPr>
      <w:ind w:firstLine="420"/>
    </w:pPr>
    <w:rPr>
      <w:rFonts w:ascii="Times New Roman" w:hAnsi="Times New Roman"/>
    </w:rPr>
  </w:style>
  <w:style w:type="paragraph" w:customStyle="1" w:styleId="222">
    <w:name w:val="页眉1"/>
    <w:basedOn w:val="43"/>
    <w:qFormat/>
    <w:uiPriority w:val="0"/>
    <w:pPr>
      <w:pBdr>
        <w:bottom w:val="single" w:color="000000" w:sz="6" w:space="1"/>
      </w:pBdr>
      <w:tabs>
        <w:tab w:val="center" w:pos="4153"/>
        <w:tab w:val="right" w:pos="8306"/>
      </w:tabs>
      <w:jc w:val="center"/>
    </w:pPr>
    <w:rPr>
      <w:sz w:val="18"/>
      <w:szCs w:val="18"/>
    </w:rPr>
  </w:style>
  <w:style w:type="paragraph" w:customStyle="1" w:styleId="223">
    <w:name w:val="页脚1"/>
    <w:basedOn w:val="43"/>
    <w:qFormat/>
    <w:uiPriority w:val="0"/>
    <w:pPr>
      <w:tabs>
        <w:tab w:val="center" w:pos="4153"/>
        <w:tab w:val="right" w:pos="8306"/>
      </w:tabs>
      <w:jc w:val="left"/>
    </w:pPr>
    <w:rPr>
      <w:sz w:val="18"/>
      <w:szCs w:val="18"/>
    </w:rPr>
  </w:style>
  <w:style w:type="paragraph" w:customStyle="1" w:styleId="224">
    <w:name w:val="标题1"/>
    <w:next w:val="201"/>
    <w:qFormat/>
    <w:uiPriority w:val="10"/>
    <w:pPr>
      <w:spacing w:before="300" w:after="200"/>
      <w:contextualSpacing/>
    </w:pPr>
    <w:rPr>
      <w:rFonts w:ascii="Times New Roman" w:hAnsi="Times New Roman" w:eastAsia="宋体" w:cs="Times New Roman"/>
      <w:sz w:val="48"/>
      <w:szCs w:val="48"/>
      <w:lang w:val="en-US" w:eastAsia="zh-CN" w:bidi="ar-SA"/>
    </w:rPr>
  </w:style>
  <w:style w:type="paragraph" w:customStyle="1" w:styleId="225">
    <w:name w:val="首行缩进"/>
    <w:basedOn w:val="43"/>
    <w:next w:val="1"/>
    <w:qFormat/>
    <w:uiPriority w:val="0"/>
    <w:pPr>
      <w:spacing w:line="360" w:lineRule="auto"/>
      <w:ind w:firstLine="480"/>
    </w:pPr>
    <w:rPr>
      <w:rFonts w:ascii="宋体" w:hAnsi="宋体"/>
      <w:sz w:val="24"/>
    </w:rPr>
  </w:style>
  <w:style w:type="character" w:customStyle="1" w:styleId="226">
    <w:name w:val="font61"/>
    <w:qFormat/>
    <w:uiPriority w:val="0"/>
    <w:rPr>
      <w:rFonts w:hint="eastAsia" w:ascii="宋体" w:hAnsi="宋体" w:eastAsia="宋体" w:cs="宋体"/>
      <w:color w:val="000000"/>
      <w:sz w:val="21"/>
      <w:szCs w:val="21"/>
      <w:u w:val="none"/>
    </w:rPr>
  </w:style>
  <w:style w:type="paragraph" w:customStyle="1" w:styleId="227">
    <w:name w:val="样式 正文文本缩进 + 首行缩进:  2 字符 行距: 1.5 倍行距"/>
    <w:basedOn w:val="1"/>
    <w:qFormat/>
    <w:uiPriority w:val="0"/>
    <w:pPr>
      <w:spacing w:before="156" w:after="120"/>
      <w:ind w:left="420" w:firstLine="645"/>
    </w:pPr>
    <w:rPr>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ZZYT</Company>
  <Pages>58</Pages>
  <Words>24640</Words>
  <Characters>25881</Characters>
  <Lines>234</Lines>
  <Paragraphs>65</Paragraphs>
  <TotalTime>0</TotalTime>
  <ScaleCrop>false</ScaleCrop>
  <LinksUpToDate>false</LinksUpToDate>
  <CharactersWithSpaces>26195</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2025-06-24T08:55:00Z</dcterms:created>
  <dc:creator>Adminis</dc:creator>
  <cp:lastModifiedBy>南京南大尚诚软件科技有限公司</cp:lastModifiedBy>
  <dcterms:modified xsi:type="dcterms:W3CDTF">2025-12-04T03:05:08Z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eyJoZGlkIjoiMzdjNGVkNmE4N2U3ZTgyMzIxZjk5MTUwNDRlNWI3MWUiLCJ1c2VySWQiOiIzMDYyNTQ2MDcifQ==</vt:lpwstr>
  </property>
  <property fmtid="{D5CDD505-2E9C-101B-9397-08002B2CF9AE}" pid="3" name="KSOProductBuildVer">
    <vt:lpwstr>2052-10.8.2.7072</vt:lpwstr>
  </property>
  <property fmtid="{D5CDD505-2E9C-101B-9397-08002B2CF9AE}" pid="4" name="ICV">
    <vt:lpwstr>071E3892B55847FA98F4929CF8449277_13</vt:lpwstr>
  </property>
</Properties>
</file>